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8D4E09" w14:textId="77777777" w:rsidR="00DF37A4" w:rsidRPr="00B60F61" w:rsidRDefault="00831758">
      <w:pPr>
        <w:pStyle w:val="Heading1"/>
        <w:rPr>
          <w:b/>
          <w:bCs/>
        </w:rPr>
      </w:pPr>
      <w:bookmarkStart w:id="0" w:name="nssta-case-management-training-manual"/>
      <w:r w:rsidRPr="00B60F61">
        <w:rPr>
          <w:b/>
          <w:bCs/>
        </w:rPr>
        <w:t>NSSTA Case Management Training Manual</w:t>
      </w:r>
    </w:p>
    <w:p w14:paraId="5EF7710E" w14:textId="2689EDEF" w:rsidR="00DF37A4" w:rsidRPr="00B60F61" w:rsidRDefault="00831758">
      <w:pPr>
        <w:pStyle w:val="Heading3"/>
        <w:rPr>
          <w:b/>
          <w:bCs/>
        </w:rPr>
      </w:pPr>
      <w:bookmarkStart w:id="1" w:name="Xfd4f208d66203e3b4b3f3bfc934ff49a395ad72"/>
      <w:r w:rsidRPr="00B60F61">
        <w:rPr>
          <w:b/>
          <w:bCs/>
          <w:i/>
          <w:iCs/>
        </w:rPr>
        <w:t>A Step-by-Step Onboarding Guide for Case Managers</w:t>
      </w:r>
      <w:r w:rsidR="00B60F61" w:rsidRPr="00B60F61">
        <w:rPr>
          <w:b/>
          <w:bCs/>
          <w:i/>
          <w:iCs/>
        </w:rPr>
        <w:tab/>
      </w:r>
      <w:r w:rsidR="00B60F61" w:rsidRPr="00B60F61">
        <w:rPr>
          <w:b/>
          <w:bCs/>
          <w:i/>
          <w:iCs/>
        </w:rPr>
        <w:tab/>
      </w:r>
    </w:p>
    <w:p w14:paraId="55B9125B" w14:textId="77777777" w:rsidR="00DF37A4" w:rsidRDefault="00000000">
      <w:r>
        <w:rPr>
          <w:noProof/>
        </w:rPr>
        <w:pict w14:anchorId="531788E0">
          <v:rect id="_x0000_i1026" alt="" style="width:468pt;height:.05pt;mso-width-percent:0;mso-height-percent:0;mso-width-percent:0;mso-height-percent:0" o:hralign="center" o:hrstd="t" o:hr="t"/>
        </w:pict>
      </w:r>
    </w:p>
    <w:p w14:paraId="380218F5" w14:textId="77777777" w:rsidR="00DF37A4" w:rsidRDefault="00831758">
      <w:pPr>
        <w:pStyle w:val="Heading2"/>
      </w:pPr>
      <w:bookmarkStart w:id="2" w:name="table-of-contents"/>
      <w:bookmarkEnd w:id="1"/>
      <w:r>
        <w:t>📘 Table of Contents</w:t>
      </w:r>
    </w:p>
    <w:p w14:paraId="4384380F" w14:textId="77777777" w:rsidR="00DF37A4" w:rsidRDefault="00831758">
      <w:pPr>
        <w:pStyle w:val="Compact"/>
        <w:numPr>
          <w:ilvl w:val="0"/>
          <w:numId w:val="2"/>
        </w:numPr>
      </w:pPr>
      <w:r>
        <w:rPr>
          <w:b/>
          <w:bCs/>
        </w:rPr>
        <w:t>Introduction</w:t>
      </w:r>
      <w:r>
        <w:br/>
      </w:r>
    </w:p>
    <w:p w14:paraId="4267751C" w14:textId="77777777" w:rsidR="00DF37A4" w:rsidRDefault="00831758">
      <w:pPr>
        <w:pStyle w:val="Compact"/>
        <w:numPr>
          <w:ilvl w:val="0"/>
          <w:numId w:val="2"/>
        </w:numPr>
      </w:pPr>
      <w:r>
        <w:rPr>
          <w:b/>
          <w:bCs/>
        </w:rPr>
        <w:t>Step 1: Understand the Case Lifecycle</w:t>
      </w:r>
      <w:r>
        <w:br/>
      </w:r>
    </w:p>
    <w:p w14:paraId="16048EF6" w14:textId="77777777" w:rsidR="00DF37A4" w:rsidRDefault="00831758">
      <w:pPr>
        <w:pStyle w:val="Compact"/>
        <w:numPr>
          <w:ilvl w:val="0"/>
          <w:numId w:val="2"/>
        </w:numPr>
      </w:pPr>
      <w:r>
        <w:rPr>
          <w:b/>
          <w:bCs/>
        </w:rPr>
        <w:t>Step 2: Open a New Case</w:t>
      </w:r>
      <w:r>
        <w:br/>
      </w:r>
    </w:p>
    <w:p w14:paraId="47ED3A66" w14:textId="77777777" w:rsidR="00DF37A4" w:rsidRDefault="00831758">
      <w:pPr>
        <w:pStyle w:val="Compact"/>
        <w:numPr>
          <w:ilvl w:val="0"/>
          <w:numId w:val="2"/>
        </w:numPr>
      </w:pPr>
      <w:r>
        <w:rPr>
          <w:b/>
          <w:bCs/>
        </w:rPr>
        <w:t>Step 3: Gather and Prepare Documentation</w:t>
      </w:r>
      <w:r>
        <w:br/>
      </w:r>
    </w:p>
    <w:p w14:paraId="72E63C62" w14:textId="77777777" w:rsidR="00DF37A4" w:rsidRDefault="00831758">
      <w:pPr>
        <w:pStyle w:val="Compact"/>
        <w:numPr>
          <w:ilvl w:val="0"/>
          <w:numId w:val="2"/>
        </w:numPr>
      </w:pPr>
      <w:r>
        <w:rPr>
          <w:b/>
          <w:bCs/>
        </w:rPr>
        <w:t>Step 4: Handle Non-Standard Cases</w:t>
      </w:r>
      <w:r>
        <w:br/>
      </w:r>
    </w:p>
    <w:p w14:paraId="05A779EF" w14:textId="77777777" w:rsidR="00DF37A4" w:rsidRDefault="00831758">
      <w:pPr>
        <w:pStyle w:val="Compact"/>
        <w:numPr>
          <w:ilvl w:val="0"/>
          <w:numId w:val="2"/>
        </w:numPr>
      </w:pPr>
      <w:r>
        <w:rPr>
          <w:b/>
          <w:bCs/>
        </w:rPr>
        <w:t>Step 5: Finalize and Execute Documents</w:t>
      </w:r>
      <w:r>
        <w:br/>
      </w:r>
    </w:p>
    <w:p w14:paraId="04FD82E5" w14:textId="77777777" w:rsidR="00DF37A4" w:rsidRDefault="00831758">
      <w:pPr>
        <w:pStyle w:val="Compact"/>
        <w:numPr>
          <w:ilvl w:val="0"/>
          <w:numId w:val="2"/>
        </w:numPr>
      </w:pPr>
      <w:r>
        <w:rPr>
          <w:b/>
          <w:bCs/>
        </w:rPr>
        <w:t>Step 6: Submit Premiums to Life Company</w:t>
      </w:r>
      <w:r>
        <w:br/>
      </w:r>
    </w:p>
    <w:p w14:paraId="0C934018" w14:textId="77777777" w:rsidR="00DF37A4" w:rsidRDefault="00831758">
      <w:pPr>
        <w:pStyle w:val="Compact"/>
        <w:numPr>
          <w:ilvl w:val="0"/>
          <w:numId w:val="2"/>
        </w:numPr>
      </w:pPr>
      <w:r>
        <w:rPr>
          <w:b/>
          <w:bCs/>
        </w:rPr>
        <w:t>Step 7: Request Contract &amp; Close the Case</w:t>
      </w:r>
      <w:r>
        <w:br/>
      </w:r>
    </w:p>
    <w:p w14:paraId="080E9557" w14:textId="77777777" w:rsidR="00DF37A4" w:rsidRDefault="00831758">
      <w:pPr>
        <w:pStyle w:val="Compact"/>
        <w:numPr>
          <w:ilvl w:val="0"/>
          <w:numId w:val="2"/>
        </w:numPr>
      </w:pPr>
      <w:r>
        <w:rPr>
          <w:b/>
          <w:bCs/>
        </w:rPr>
        <w:t>Appendix: Sample Forms and Checklists</w:t>
      </w:r>
      <w:r>
        <w:br/>
      </w:r>
    </w:p>
    <w:p w14:paraId="3283DC0F" w14:textId="77777777" w:rsidR="00DF37A4" w:rsidRDefault="00831758">
      <w:pPr>
        <w:pStyle w:val="Compact"/>
        <w:numPr>
          <w:ilvl w:val="0"/>
          <w:numId w:val="2"/>
        </w:numPr>
      </w:pPr>
      <w:r>
        <w:rPr>
          <w:b/>
          <w:bCs/>
        </w:rPr>
        <w:t>Quick Reference Glossary</w:t>
      </w:r>
    </w:p>
    <w:p w14:paraId="391D02D3" w14:textId="77777777" w:rsidR="00B60F61" w:rsidRDefault="00000000" w:rsidP="00B60F61">
      <w:r>
        <w:rPr>
          <w:noProof/>
        </w:rPr>
        <w:pict w14:anchorId="48EAEA24">
          <v:rect id="_x0000_i1027" alt="" style="width:468pt;height:.05pt;mso-width-percent:0;mso-height-percent:0;mso-width-percent:0;mso-height-percent:0" o:hralign="center" o:bullet="t" o:hrstd="t" o:hr="t"/>
        </w:pict>
      </w:r>
      <w:bookmarkStart w:id="3" w:name="introduction"/>
      <w:bookmarkEnd w:id="2"/>
    </w:p>
    <w:p w14:paraId="53914150" w14:textId="3BA4B769" w:rsidR="00DF37A4" w:rsidRDefault="00831758" w:rsidP="00B60F61">
      <w:r>
        <w:t xml:space="preserve"> Introduction</w:t>
      </w:r>
    </w:p>
    <w:p w14:paraId="0683848A" w14:textId="77777777" w:rsidR="00DF37A4" w:rsidRDefault="00831758">
      <w:pPr>
        <w:pStyle w:val="FirstParagraph"/>
      </w:pPr>
      <w:r>
        <w:t xml:space="preserve">Welcome to the </w:t>
      </w:r>
      <w:r>
        <w:rPr>
          <w:b/>
          <w:bCs/>
        </w:rPr>
        <w:t>NSSTA Case Management Training Manual</w:t>
      </w:r>
      <w:r>
        <w:t>. This guide is designed for entry-level case managers working in structured settlements. It provides a step-by-step framework for managing cases from intake to closure. Each section includes clear tasks, checklists, and pro tips to help you perform confidently and accurately.</w:t>
      </w:r>
    </w:p>
    <w:p w14:paraId="7E8059E0" w14:textId="4F0A6AB6" w:rsidR="00DF37A4" w:rsidRDefault="00831758">
      <w:pPr>
        <w:pStyle w:val="BlockText"/>
      </w:pPr>
      <w:r>
        <w:t xml:space="preserve">💡 </w:t>
      </w:r>
      <w:r>
        <w:rPr>
          <w:b/>
          <w:bCs/>
        </w:rPr>
        <w:t>Pro Tip:</w:t>
      </w:r>
      <w:r>
        <w:t xml:space="preserve"> Refer to this manual as you work through real cases. It’s meant to be practical, not theoretical.</w:t>
      </w:r>
    </w:p>
    <w:p w14:paraId="1D04EBF9" w14:textId="77777777" w:rsidR="00DF37A4" w:rsidRDefault="00000000">
      <w:r>
        <w:rPr>
          <w:noProof/>
        </w:rPr>
        <w:pict w14:anchorId="77254F13">
          <v:rect id="_x0000_i1028" alt="" style="width:468pt;height:.05pt;mso-width-percent:0;mso-height-percent:0;mso-width-percent:0;mso-height-percent:0" o:hralign="center" o:hrstd="t" o:hr="t"/>
        </w:pict>
      </w:r>
    </w:p>
    <w:p w14:paraId="60DD8433" w14:textId="77777777" w:rsidR="00DF37A4" w:rsidRPr="00B60F61" w:rsidRDefault="00831758">
      <w:pPr>
        <w:pStyle w:val="Heading2"/>
        <w:rPr>
          <w:b/>
          <w:bCs/>
        </w:rPr>
      </w:pPr>
      <w:bookmarkStart w:id="4" w:name="step-1-understand-the-case-lifecycle"/>
      <w:bookmarkEnd w:id="3"/>
      <w:r w:rsidRPr="00B60F61">
        <w:rPr>
          <w:b/>
          <w:bCs/>
        </w:rPr>
        <w:lastRenderedPageBreak/>
        <w:t>🧭 Step 1: Understand the Case Lifecycle</w:t>
      </w:r>
    </w:p>
    <w:p w14:paraId="2D258314" w14:textId="77777777" w:rsidR="00DF37A4" w:rsidRDefault="00831758">
      <w:pPr>
        <w:pStyle w:val="FirstParagraph"/>
      </w:pPr>
      <w:r>
        <w:t>Every structured settlement case follows a predictable path. Familiarizing yourself with these stages is key to success.</w:t>
      </w:r>
    </w:p>
    <w:p w14:paraId="132254FC" w14:textId="77777777" w:rsidR="00DF37A4" w:rsidRDefault="00831758">
      <w:pPr>
        <w:pStyle w:val="Heading3"/>
      </w:pPr>
      <w:bookmarkStart w:id="5" w:name="overview-of-the-lifecycle"/>
      <w:r>
        <w:t>Overview of the Lifecycle</w:t>
      </w:r>
    </w:p>
    <w:p w14:paraId="2722FC4C" w14:textId="77777777" w:rsidR="00DF37A4" w:rsidRDefault="00831758">
      <w:pPr>
        <w:pStyle w:val="Compact"/>
        <w:numPr>
          <w:ilvl w:val="0"/>
          <w:numId w:val="3"/>
        </w:numPr>
      </w:pPr>
      <w:r>
        <w:rPr>
          <w:b/>
          <w:bCs/>
        </w:rPr>
        <w:t>Case Opening</w:t>
      </w:r>
      <w:r>
        <w:t xml:space="preserve"> – Gather basic facts and client details.</w:t>
      </w:r>
    </w:p>
    <w:p w14:paraId="0435C4A8" w14:textId="77777777" w:rsidR="00DF37A4" w:rsidRDefault="00831758">
      <w:pPr>
        <w:pStyle w:val="Compact"/>
        <w:numPr>
          <w:ilvl w:val="0"/>
          <w:numId w:val="3"/>
        </w:numPr>
      </w:pPr>
      <w:r>
        <w:rPr>
          <w:b/>
          <w:bCs/>
        </w:rPr>
        <w:t>Document Preparation</w:t>
      </w:r>
      <w:r>
        <w:t xml:space="preserve"> – Draft all necessary settlement paperwork.</w:t>
      </w:r>
    </w:p>
    <w:p w14:paraId="1DC61ABA" w14:textId="77777777" w:rsidR="00DF37A4" w:rsidRDefault="00831758">
      <w:pPr>
        <w:pStyle w:val="Compact"/>
        <w:numPr>
          <w:ilvl w:val="0"/>
          <w:numId w:val="3"/>
        </w:numPr>
      </w:pPr>
      <w:r>
        <w:rPr>
          <w:b/>
          <w:bCs/>
        </w:rPr>
        <w:t>Finalization &amp; Execution</w:t>
      </w:r>
      <w:r>
        <w:t xml:space="preserve"> – Coordinate reviews and obtain signatures.</w:t>
      </w:r>
    </w:p>
    <w:p w14:paraId="53FC262A" w14:textId="77777777" w:rsidR="00DF37A4" w:rsidRDefault="00831758">
      <w:pPr>
        <w:pStyle w:val="Compact"/>
        <w:numPr>
          <w:ilvl w:val="0"/>
          <w:numId w:val="3"/>
        </w:numPr>
      </w:pPr>
      <w:r>
        <w:rPr>
          <w:b/>
          <w:bCs/>
        </w:rPr>
        <w:t>Submission to Life Company</w:t>
      </w:r>
      <w:r>
        <w:t xml:space="preserve"> – Ensure compliance and completeness.</w:t>
      </w:r>
    </w:p>
    <w:p w14:paraId="0B50F5DF" w14:textId="77777777" w:rsidR="00DF37A4" w:rsidRDefault="00831758">
      <w:pPr>
        <w:pStyle w:val="Compact"/>
        <w:numPr>
          <w:ilvl w:val="0"/>
          <w:numId w:val="3"/>
        </w:numPr>
      </w:pPr>
      <w:r>
        <w:rPr>
          <w:b/>
          <w:bCs/>
        </w:rPr>
        <w:t>Contract Request</w:t>
      </w:r>
      <w:r>
        <w:t xml:space="preserve"> – Deliver required documents to the life company.</w:t>
      </w:r>
    </w:p>
    <w:p w14:paraId="3BF532F8" w14:textId="77777777" w:rsidR="00DF37A4" w:rsidRDefault="00831758">
      <w:pPr>
        <w:pStyle w:val="Compact"/>
        <w:numPr>
          <w:ilvl w:val="0"/>
          <w:numId w:val="3"/>
        </w:numPr>
      </w:pPr>
      <w:r>
        <w:rPr>
          <w:b/>
          <w:bCs/>
        </w:rPr>
        <w:t>Case Closing</w:t>
      </w:r>
      <w:r>
        <w:t xml:space="preserve"> – Confirm all steps are complete and records filed.</w:t>
      </w:r>
    </w:p>
    <w:p w14:paraId="48B12E75" w14:textId="77777777" w:rsidR="00DF37A4" w:rsidRDefault="00831758">
      <w:pPr>
        <w:pStyle w:val="BlockText"/>
      </w:pPr>
      <w:r>
        <w:t xml:space="preserve">⚠️ </w:t>
      </w:r>
      <w:r>
        <w:rPr>
          <w:b/>
          <w:bCs/>
        </w:rPr>
        <w:t>Caution:</w:t>
      </w:r>
      <w:r>
        <w:t xml:space="preserve"> Missing a single document or failing to follow up can delay the case or void compliance.</w:t>
      </w:r>
    </w:p>
    <w:p w14:paraId="50501A97" w14:textId="77777777" w:rsidR="00DF37A4" w:rsidRDefault="00000000">
      <w:r>
        <w:rPr>
          <w:noProof/>
        </w:rPr>
        <w:pict w14:anchorId="6D579099">
          <v:rect id="_x0000_i1029" alt="" style="width:468pt;height:.05pt;mso-width-percent:0;mso-height-percent:0;mso-width-percent:0;mso-height-percent:0" o:hralign="center" o:hrstd="t" o:hr="t"/>
        </w:pict>
      </w:r>
    </w:p>
    <w:p w14:paraId="2C18F5C3" w14:textId="77777777" w:rsidR="00DF37A4" w:rsidRPr="00B60F61" w:rsidRDefault="00831758">
      <w:pPr>
        <w:pStyle w:val="Heading2"/>
        <w:rPr>
          <w:b/>
          <w:bCs/>
        </w:rPr>
      </w:pPr>
      <w:bookmarkStart w:id="6" w:name="step-2-open-a-new-case"/>
      <w:bookmarkEnd w:id="4"/>
      <w:bookmarkEnd w:id="5"/>
      <w:r w:rsidRPr="00B60F61">
        <w:rPr>
          <w:b/>
          <w:bCs/>
        </w:rPr>
        <w:t>🗂️ Step 2: Open a New Case</w:t>
      </w:r>
    </w:p>
    <w:p w14:paraId="54990AB0" w14:textId="77777777" w:rsidR="00DF37A4" w:rsidRDefault="00831758">
      <w:pPr>
        <w:pStyle w:val="FirstParagraph"/>
      </w:pPr>
      <w:r>
        <w:t>This is where the process begins. Accuracy here prevents issues later.</w:t>
      </w:r>
    </w:p>
    <w:p w14:paraId="0E3BDB68" w14:textId="77777777" w:rsidR="00DF37A4" w:rsidRDefault="00831758">
      <w:pPr>
        <w:pStyle w:val="Heading3"/>
      </w:pPr>
      <w:bookmarkStart w:id="7" w:name="tasks"/>
      <w:r>
        <w:t>Tasks</w:t>
      </w:r>
    </w:p>
    <w:p w14:paraId="295CD39D" w14:textId="77777777" w:rsidR="00DF37A4" w:rsidRDefault="00831758">
      <w:pPr>
        <w:pStyle w:val="Compact"/>
        <w:numPr>
          <w:ilvl w:val="0"/>
          <w:numId w:val="4"/>
        </w:numPr>
      </w:pPr>
      <w:r>
        <w:t xml:space="preserve">Complete the </w:t>
      </w:r>
      <w:r>
        <w:rPr>
          <w:b/>
          <w:bCs/>
        </w:rPr>
        <w:t>Case Information Sheet</w:t>
      </w:r>
      <w:r>
        <w:t xml:space="preserve"> or request details from the attorney/adjuster.</w:t>
      </w:r>
    </w:p>
    <w:p w14:paraId="692EF5AA" w14:textId="77777777" w:rsidR="00DF37A4" w:rsidRDefault="00831758">
      <w:pPr>
        <w:pStyle w:val="Compact"/>
        <w:numPr>
          <w:ilvl w:val="0"/>
          <w:numId w:val="4"/>
        </w:numPr>
      </w:pPr>
      <w:r>
        <w:t>Collect minimal quoting data:</w:t>
      </w:r>
    </w:p>
    <w:p w14:paraId="49936D79" w14:textId="77777777" w:rsidR="00DF37A4" w:rsidRDefault="00831758">
      <w:pPr>
        <w:pStyle w:val="Compact"/>
        <w:numPr>
          <w:ilvl w:val="1"/>
          <w:numId w:val="5"/>
        </w:numPr>
      </w:pPr>
      <w:r>
        <w:t>Name</w:t>
      </w:r>
      <w:r>
        <w:br/>
      </w:r>
    </w:p>
    <w:p w14:paraId="37DB9852" w14:textId="77777777" w:rsidR="00DF37A4" w:rsidRDefault="00831758">
      <w:pPr>
        <w:pStyle w:val="Compact"/>
        <w:numPr>
          <w:ilvl w:val="1"/>
          <w:numId w:val="5"/>
        </w:numPr>
      </w:pPr>
      <w:r>
        <w:t>Date of Birth</w:t>
      </w:r>
      <w:r>
        <w:br/>
      </w:r>
    </w:p>
    <w:p w14:paraId="7E6F41B3" w14:textId="77777777" w:rsidR="00DF37A4" w:rsidRDefault="00831758">
      <w:pPr>
        <w:pStyle w:val="Compact"/>
        <w:numPr>
          <w:ilvl w:val="1"/>
          <w:numId w:val="5"/>
        </w:numPr>
      </w:pPr>
      <w:r>
        <w:t>Gender</w:t>
      </w:r>
      <w:r>
        <w:br/>
      </w:r>
    </w:p>
    <w:p w14:paraId="0D386DE9" w14:textId="77777777" w:rsidR="00DF37A4" w:rsidRDefault="00831758">
      <w:pPr>
        <w:pStyle w:val="Compact"/>
        <w:numPr>
          <w:ilvl w:val="1"/>
          <w:numId w:val="5"/>
        </w:numPr>
      </w:pPr>
      <w:r>
        <w:t>State</w:t>
      </w:r>
      <w:r>
        <w:br/>
      </w:r>
    </w:p>
    <w:p w14:paraId="48DD3D1D" w14:textId="77777777" w:rsidR="00DF37A4" w:rsidRDefault="00831758">
      <w:pPr>
        <w:pStyle w:val="Compact"/>
        <w:numPr>
          <w:ilvl w:val="1"/>
          <w:numId w:val="5"/>
        </w:numPr>
      </w:pPr>
      <w:r>
        <w:t>Insurer</w:t>
      </w:r>
      <w:r>
        <w:br/>
      </w:r>
    </w:p>
    <w:p w14:paraId="6A7E6796" w14:textId="77777777" w:rsidR="00DF37A4" w:rsidRDefault="00831758">
      <w:pPr>
        <w:pStyle w:val="Compact"/>
        <w:numPr>
          <w:ilvl w:val="1"/>
          <w:numId w:val="5"/>
        </w:numPr>
      </w:pPr>
      <w:r>
        <w:t>Injury Amounts</w:t>
      </w:r>
    </w:p>
    <w:p w14:paraId="0E58CE78" w14:textId="77777777" w:rsidR="00DF37A4" w:rsidRDefault="00831758">
      <w:pPr>
        <w:pStyle w:val="Compact"/>
        <w:numPr>
          <w:ilvl w:val="0"/>
          <w:numId w:val="4"/>
        </w:numPr>
      </w:pPr>
      <w:r>
        <w:t xml:space="preserve">Confirm </w:t>
      </w:r>
      <w:r>
        <w:rPr>
          <w:b/>
          <w:bCs/>
        </w:rPr>
        <w:t>case type</w:t>
      </w:r>
      <w:r>
        <w:t>: Liability, Non-Qualified, Workers’ Comp, etc.</w:t>
      </w:r>
    </w:p>
    <w:p w14:paraId="7FF5976C" w14:textId="77777777" w:rsidR="00DF37A4" w:rsidRDefault="00831758">
      <w:pPr>
        <w:pStyle w:val="Compact"/>
        <w:numPr>
          <w:ilvl w:val="0"/>
          <w:numId w:val="4"/>
        </w:numPr>
      </w:pPr>
      <w:r>
        <w:t>Identify all involved parties (Defendants, Insurers, Employers).</w:t>
      </w:r>
    </w:p>
    <w:p w14:paraId="0BBF1588" w14:textId="77777777" w:rsidR="00DF37A4" w:rsidRDefault="00831758">
      <w:pPr>
        <w:pStyle w:val="Compact"/>
        <w:numPr>
          <w:ilvl w:val="0"/>
          <w:numId w:val="4"/>
        </w:numPr>
      </w:pPr>
      <w:r>
        <w:t>Verify funding protocols or approved vendor lists.</w:t>
      </w:r>
    </w:p>
    <w:p w14:paraId="3CA9A94B" w14:textId="77777777" w:rsidR="00DF37A4" w:rsidRDefault="00831758">
      <w:pPr>
        <w:pStyle w:val="Compact"/>
        <w:numPr>
          <w:ilvl w:val="0"/>
          <w:numId w:val="4"/>
        </w:numPr>
      </w:pPr>
      <w:r>
        <w:t xml:space="preserve">Send the </w:t>
      </w:r>
      <w:r>
        <w:rPr>
          <w:b/>
          <w:bCs/>
        </w:rPr>
        <w:t>Commission Sharing Agreement (CSA)</w:t>
      </w:r>
      <w:r>
        <w:t xml:space="preserve"> for signatures if required.</w:t>
      </w:r>
    </w:p>
    <w:p w14:paraId="53D08680" w14:textId="77777777" w:rsidR="00DF37A4" w:rsidRDefault="00831758">
      <w:pPr>
        <w:pStyle w:val="Heading3"/>
      </w:pPr>
      <w:bookmarkStart w:id="8" w:name="quick-checklist"/>
      <w:bookmarkEnd w:id="7"/>
      <w:r>
        <w:lastRenderedPageBreak/>
        <w:t>Quick Checklist</w:t>
      </w:r>
    </w:p>
    <w:p w14:paraId="01C4B7B1" w14:textId="77777777" w:rsidR="00DF37A4" w:rsidRDefault="00831758">
      <w:pPr>
        <w:pStyle w:val="Compact"/>
        <w:numPr>
          <w:ilvl w:val="0"/>
          <w:numId w:val="6"/>
        </w:numPr>
      </w:pPr>
      <w:r>
        <w:t>Case info sheet completed</w:t>
      </w:r>
      <w:r>
        <w:br/>
      </w:r>
    </w:p>
    <w:p w14:paraId="72C7B6F2" w14:textId="77777777" w:rsidR="00DF37A4" w:rsidRDefault="00831758">
      <w:pPr>
        <w:pStyle w:val="Compact"/>
        <w:numPr>
          <w:ilvl w:val="0"/>
          <w:numId w:val="7"/>
        </w:numPr>
      </w:pPr>
      <w:r>
        <w:t>Case type confirmed</w:t>
      </w:r>
      <w:r>
        <w:br/>
      </w:r>
    </w:p>
    <w:p w14:paraId="72C26437" w14:textId="77777777" w:rsidR="00DF37A4" w:rsidRDefault="00831758">
      <w:pPr>
        <w:pStyle w:val="Compact"/>
        <w:numPr>
          <w:ilvl w:val="0"/>
          <w:numId w:val="8"/>
        </w:numPr>
      </w:pPr>
      <w:r>
        <w:t>All parties identified</w:t>
      </w:r>
      <w:r>
        <w:br/>
      </w:r>
    </w:p>
    <w:p w14:paraId="268B7DF4" w14:textId="77777777" w:rsidR="00DF37A4" w:rsidRDefault="00831758">
      <w:pPr>
        <w:pStyle w:val="Compact"/>
        <w:numPr>
          <w:ilvl w:val="0"/>
          <w:numId w:val="9"/>
        </w:numPr>
      </w:pPr>
      <w:r>
        <w:t>CSA sent and logged</w:t>
      </w:r>
      <w:r>
        <w:br/>
      </w:r>
    </w:p>
    <w:p w14:paraId="506BC9BD" w14:textId="77777777" w:rsidR="00DF37A4" w:rsidRDefault="00831758">
      <w:pPr>
        <w:pStyle w:val="Compact"/>
        <w:numPr>
          <w:ilvl w:val="0"/>
          <w:numId w:val="10"/>
        </w:numPr>
      </w:pPr>
      <w:r>
        <w:t>Quoting data verified</w:t>
      </w:r>
    </w:p>
    <w:p w14:paraId="5227382B" w14:textId="77777777" w:rsidR="00DF37A4" w:rsidRDefault="00831758">
      <w:pPr>
        <w:pStyle w:val="BlockText"/>
      </w:pPr>
      <w:r>
        <w:t xml:space="preserve">💡 </w:t>
      </w:r>
      <w:r>
        <w:rPr>
          <w:b/>
          <w:bCs/>
        </w:rPr>
        <w:t>Pro Tip:</w:t>
      </w:r>
      <w:r>
        <w:t xml:space="preserve"> Save each piece of incoming info to the case folder immediately. Never rely on memory.</w:t>
      </w:r>
    </w:p>
    <w:p w14:paraId="45A2A1A9" w14:textId="77777777" w:rsidR="00DF37A4" w:rsidRDefault="00000000">
      <w:r>
        <w:rPr>
          <w:noProof/>
        </w:rPr>
        <w:pict w14:anchorId="535331CC">
          <v:rect id="_x0000_i1030" alt="" style="width:468pt;height:.05pt;mso-width-percent:0;mso-height-percent:0;mso-width-percent:0;mso-height-percent:0" o:hralign="center" o:hrstd="t" o:hr="t"/>
        </w:pict>
      </w:r>
    </w:p>
    <w:p w14:paraId="0B20BAA5" w14:textId="77777777" w:rsidR="00DF37A4" w:rsidRPr="00B60F61" w:rsidRDefault="00831758">
      <w:pPr>
        <w:pStyle w:val="Heading2"/>
        <w:rPr>
          <w:b/>
          <w:bCs/>
        </w:rPr>
      </w:pPr>
      <w:bookmarkStart w:id="9" w:name="step-3-gather-and-prepare-documentation"/>
      <w:bookmarkEnd w:id="6"/>
      <w:bookmarkEnd w:id="8"/>
      <w:r w:rsidRPr="00B60F61">
        <w:rPr>
          <w:b/>
          <w:bCs/>
        </w:rPr>
        <w:t>📄 Step 3: Gather and Prepare Documentation</w:t>
      </w:r>
    </w:p>
    <w:p w14:paraId="01A51527" w14:textId="77777777" w:rsidR="00DF37A4" w:rsidRDefault="00831758">
      <w:pPr>
        <w:pStyle w:val="FirstParagraph"/>
      </w:pPr>
      <w:r>
        <w:t>Once the case is open, documentation begins.</w:t>
      </w:r>
    </w:p>
    <w:p w14:paraId="3529180A" w14:textId="77777777" w:rsidR="00DF37A4" w:rsidRDefault="00831758">
      <w:pPr>
        <w:pStyle w:val="Heading3"/>
      </w:pPr>
      <w:bookmarkStart w:id="10" w:name="tasks-1"/>
      <w:r>
        <w:t>Tasks</w:t>
      </w:r>
    </w:p>
    <w:p w14:paraId="048C0B2F" w14:textId="77777777" w:rsidR="00DF37A4" w:rsidRDefault="00831758">
      <w:pPr>
        <w:pStyle w:val="Compact"/>
        <w:numPr>
          <w:ilvl w:val="0"/>
          <w:numId w:val="11"/>
        </w:numPr>
      </w:pPr>
      <w:r>
        <w:t>Draft required settlement documents:</w:t>
      </w:r>
    </w:p>
    <w:p w14:paraId="0B95B6FF" w14:textId="77777777" w:rsidR="00DF37A4" w:rsidRDefault="00831758">
      <w:pPr>
        <w:pStyle w:val="Compact"/>
        <w:numPr>
          <w:ilvl w:val="1"/>
          <w:numId w:val="12"/>
        </w:numPr>
      </w:pPr>
      <w:r>
        <w:t>Release (Liability)</w:t>
      </w:r>
    </w:p>
    <w:p w14:paraId="099A1737" w14:textId="77777777" w:rsidR="00DF37A4" w:rsidRDefault="00831758">
      <w:pPr>
        <w:pStyle w:val="Compact"/>
        <w:numPr>
          <w:ilvl w:val="1"/>
          <w:numId w:val="12"/>
        </w:numPr>
      </w:pPr>
      <w:r>
        <w:t>Terms/Addendum (Workers’ Comp)</w:t>
      </w:r>
    </w:p>
    <w:p w14:paraId="77794825" w14:textId="77777777" w:rsidR="00DF37A4" w:rsidRDefault="00831758">
      <w:pPr>
        <w:pStyle w:val="Compact"/>
        <w:numPr>
          <w:ilvl w:val="1"/>
          <w:numId w:val="12"/>
        </w:numPr>
      </w:pPr>
      <w:r>
        <w:t>Assignment or Transfer Documents</w:t>
      </w:r>
    </w:p>
    <w:p w14:paraId="02D1AD9E" w14:textId="77777777" w:rsidR="00DF37A4" w:rsidRDefault="00831758">
      <w:pPr>
        <w:pStyle w:val="Compact"/>
        <w:numPr>
          <w:ilvl w:val="1"/>
          <w:numId w:val="12"/>
        </w:numPr>
      </w:pPr>
      <w:r>
        <w:t>Suggested Court Approval Language</w:t>
      </w:r>
    </w:p>
    <w:p w14:paraId="40FE2D23" w14:textId="77777777" w:rsidR="00DF37A4" w:rsidRDefault="00831758">
      <w:pPr>
        <w:pStyle w:val="Compact"/>
        <w:numPr>
          <w:ilvl w:val="1"/>
          <w:numId w:val="12"/>
        </w:numPr>
      </w:pPr>
      <w:r>
        <w:t>State Disclosure Forms (NY, FL, MA)</w:t>
      </w:r>
    </w:p>
    <w:p w14:paraId="72166E08" w14:textId="77777777" w:rsidR="00DF37A4" w:rsidRDefault="00831758">
      <w:pPr>
        <w:pStyle w:val="Compact"/>
        <w:numPr>
          <w:ilvl w:val="1"/>
          <w:numId w:val="12"/>
        </w:numPr>
      </w:pPr>
      <w:r>
        <w:t>Medicare Addendum (if required)</w:t>
      </w:r>
    </w:p>
    <w:p w14:paraId="61882356" w14:textId="77777777" w:rsidR="00DF37A4" w:rsidRDefault="00831758">
      <w:pPr>
        <w:pStyle w:val="Compact"/>
        <w:numPr>
          <w:ilvl w:val="0"/>
          <w:numId w:val="11"/>
        </w:numPr>
      </w:pPr>
      <w:r>
        <w:t xml:space="preserve">Use the </w:t>
      </w:r>
      <w:r>
        <w:rPr>
          <w:b/>
          <w:bCs/>
        </w:rPr>
        <w:t>Document Preparation Checklist</w:t>
      </w:r>
      <w:r>
        <w:t xml:space="preserve"> before submitting drafts.</w:t>
      </w:r>
    </w:p>
    <w:p w14:paraId="3EC092F4" w14:textId="77777777" w:rsidR="00DF37A4" w:rsidRDefault="00831758">
      <w:pPr>
        <w:pStyle w:val="Compact"/>
        <w:numPr>
          <w:ilvl w:val="0"/>
          <w:numId w:val="11"/>
        </w:numPr>
      </w:pPr>
      <w:r>
        <w:t>Review insurer and life company requirements for accuracy.</w:t>
      </w:r>
    </w:p>
    <w:p w14:paraId="7CD26604" w14:textId="77777777" w:rsidR="00DF37A4" w:rsidRDefault="00831758">
      <w:pPr>
        <w:pStyle w:val="Heading3"/>
      </w:pPr>
      <w:bookmarkStart w:id="11" w:name="document-preparation-checklist"/>
      <w:bookmarkEnd w:id="10"/>
      <w:r>
        <w:t>Document Preparation Checklist</w:t>
      </w:r>
    </w:p>
    <w:p w14:paraId="2EA09D51" w14:textId="77777777" w:rsidR="00DF37A4" w:rsidRDefault="00831758">
      <w:pPr>
        <w:pStyle w:val="Compact"/>
        <w:numPr>
          <w:ilvl w:val="0"/>
          <w:numId w:val="13"/>
        </w:numPr>
      </w:pPr>
      <w:r>
        <w:t>Draft Release completed</w:t>
      </w:r>
      <w:r>
        <w:br/>
      </w:r>
    </w:p>
    <w:p w14:paraId="62BFFBA0" w14:textId="77777777" w:rsidR="00DF37A4" w:rsidRDefault="00831758">
      <w:pPr>
        <w:pStyle w:val="Compact"/>
        <w:numPr>
          <w:ilvl w:val="0"/>
          <w:numId w:val="14"/>
        </w:numPr>
      </w:pPr>
      <w:r>
        <w:t>Disclosure form attached</w:t>
      </w:r>
      <w:r>
        <w:br/>
      </w:r>
    </w:p>
    <w:p w14:paraId="7A2502BC" w14:textId="77777777" w:rsidR="00DF37A4" w:rsidRDefault="00831758">
      <w:pPr>
        <w:pStyle w:val="Compact"/>
        <w:numPr>
          <w:ilvl w:val="0"/>
          <w:numId w:val="15"/>
        </w:numPr>
      </w:pPr>
      <w:r>
        <w:t>Addendums prepared</w:t>
      </w:r>
      <w:r>
        <w:br/>
      </w:r>
    </w:p>
    <w:p w14:paraId="78E6EFCA" w14:textId="77777777" w:rsidR="00DF37A4" w:rsidRDefault="00831758">
      <w:pPr>
        <w:pStyle w:val="Compact"/>
        <w:numPr>
          <w:ilvl w:val="0"/>
          <w:numId w:val="16"/>
        </w:numPr>
      </w:pPr>
      <w:r>
        <w:t>State-specific language confirmed</w:t>
      </w:r>
      <w:r>
        <w:br/>
      </w:r>
    </w:p>
    <w:p w14:paraId="4E89FE36" w14:textId="77777777" w:rsidR="00DF37A4" w:rsidRDefault="00831758">
      <w:pPr>
        <w:pStyle w:val="Compact"/>
        <w:numPr>
          <w:ilvl w:val="0"/>
          <w:numId w:val="17"/>
        </w:numPr>
      </w:pPr>
      <w:r>
        <w:t>All parties’ names verified</w:t>
      </w:r>
    </w:p>
    <w:p w14:paraId="1EEA31C4" w14:textId="213D362C" w:rsidR="00DF37A4" w:rsidRDefault="00831758">
      <w:pPr>
        <w:pStyle w:val="BlockText"/>
      </w:pPr>
      <w:r>
        <w:lastRenderedPageBreak/>
        <w:t xml:space="preserve">⚠️ </w:t>
      </w:r>
      <w:r>
        <w:rPr>
          <w:b/>
          <w:bCs/>
        </w:rPr>
        <w:t>Caution:</w:t>
      </w:r>
      <w:r>
        <w:t xml:space="preserve"> Never alter approved language from a life company without written authorization.</w:t>
      </w:r>
    </w:p>
    <w:p w14:paraId="1983DF02" w14:textId="77777777" w:rsidR="00DF37A4" w:rsidRDefault="00000000">
      <w:r>
        <w:rPr>
          <w:noProof/>
        </w:rPr>
        <w:pict w14:anchorId="39AA2E76">
          <v:rect id="_x0000_i1031" alt="" style="width:468pt;height:.05pt;mso-width-percent:0;mso-height-percent:0;mso-width-percent:0;mso-height-percent:0" o:hralign="center" o:hrstd="t" o:hr="t"/>
        </w:pict>
      </w:r>
    </w:p>
    <w:p w14:paraId="730F090B" w14:textId="77777777" w:rsidR="00DF37A4" w:rsidRPr="00B60F61" w:rsidRDefault="00831758">
      <w:pPr>
        <w:pStyle w:val="Heading2"/>
        <w:rPr>
          <w:b/>
          <w:bCs/>
        </w:rPr>
      </w:pPr>
      <w:bookmarkStart w:id="12" w:name="step-4-handle-non-standard-cases"/>
      <w:bookmarkEnd w:id="9"/>
      <w:bookmarkEnd w:id="11"/>
      <w:r w:rsidRPr="00B60F61">
        <w:rPr>
          <w:b/>
          <w:bCs/>
        </w:rPr>
        <w:t>⚖️ Step 4: Handle Non-Standard Cases</w:t>
      </w:r>
    </w:p>
    <w:p w14:paraId="22DAE97A" w14:textId="77777777" w:rsidR="00DF37A4" w:rsidRDefault="00831758">
      <w:pPr>
        <w:pStyle w:val="FirstParagraph"/>
      </w:pPr>
      <w:r>
        <w:t>Some cases require extra steps. Always verify requirements before drafting.</w:t>
      </w:r>
    </w:p>
    <w:p w14:paraId="433BB82C" w14:textId="77777777" w:rsidR="00DF37A4" w:rsidRDefault="00831758">
      <w:pPr>
        <w:pStyle w:val="Heading3"/>
      </w:pPr>
      <w:bookmarkStart w:id="13" w:name="common-non-standard-types"/>
      <w:r>
        <w:t>Common Non-Standard Types</w:t>
      </w:r>
    </w:p>
    <w:p w14:paraId="65155B6E" w14:textId="77777777" w:rsidR="00DF37A4" w:rsidRDefault="00831758">
      <w:pPr>
        <w:pStyle w:val="Compact"/>
        <w:numPr>
          <w:ilvl w:val="0"/>
          <w:numId w:val="18"/>
        </w:numPr>
      </w:pPr>
      <w:r>
        <w:t>Death Cases</w:t>
      </w:r>
    </w:p>
    <w:p w14:paraId="7F6176EE" w14:textId="77777777" w:rsidR="00DF37A4" w:rsidRDefault="00831758">
      <w:pPr>
        <w:pStyle w:val="Compact"/>
        <w:numPr>
          <w:ilvl w:val="0"/>
          <w:numId w:val="18"/>
        </w:numPr>
      </w:pPr>
      <w:r>
        <w:t>Commutations</w:t>
      </w:r>
    </w:p>
    <w:p w14:paraId="591C7ED9" w14:textId="77777777" w:rsidR="00DF37A4" w:rsidRDefault="00831758">
      <w:pPr>
        <w:pStyle w:val="Compact"/>
        <w:numPr>
          <w:ilvl w:val="0"/>
          <w:numId w:val="18"/>
        </w:numPr>
      </w:pPr>
      <w:r>
        <w:t>Attorney’s Fees</w:t>
      </w:r>
    </w:p>
    <w:p w14:paraId="353B245F" w14:textId="77777777" w:rsidR="00DF37A4" w:rsidRDefault="00831758">
      <w:pPr>
        <w:pStyle w:val="Compact"/>
        <w:numPr>
          <w:ilvl w:val="0"/>
          <w:numId w:val="18"/>
        </w:numPr>
      </w:pPr>
      <w:r>
        <w:t>Non-Qualified Cases</w:t>
      </w:r>
    </w:p>
    <w:p w14:paraId="38EF2CAD" w14:textId="77777777" w:rsidR="00DF37A4" w:rsidRDefault="00831758">
      <w:pPr>
        <w:pStyle w:val="Compact"/>
        <w:numPr>
          <w:ilvl w:val="0"/>
          <w:numId w:val="18"/>
        </w:numPr>
      </w:pPr>
      <w:r>
        <w:t>Pre-1997 Workers’ Comp</w:t>
      </w:r>
    </w:p>
    <w:p w14:paraId="4A91AC5C" w14:textId="77777777" w:rsidR="00DF37A4" w:rsidRDefault="00831758">
      <w:pPr>
        <w:pStyle w:val="Compact"/>
        <w:numPr>
          <w:ilvl w:val="0"/>
          <w:numId w:val="18"/>
        </w:numPr>
      </w:pPr>
      <w:r>
        <w:t>Environmental or Employment Litigation</w:t>
      </w:r>
    </w:p>
    <w:p w14:paraId="518E1226" w14:textId="77777777" w:rsidR="00DF37A4" w:rsidRDefault="00831758">
      <w:pPr>
        <w:pStyle w:val="Heading3"/>
      </w:pPr>
      <w:bookmarkStart w:id="14" w:name="tasks-2"/>
      <w:bookmarkEnd w:id="13"/>
      <w:r>
        <w:t>Tasks</w:t>
      </w:r>
    </w:p>
    <w:p w14:paraId="525B15A5" w14:textId="77777777" w:rsidR="00DF37A4" w:rsidRDefault="00831758">
      <w:pPr>
        <w:pStyle w:val="Compact"/>
        <w:numPr>
          <w:ilvl w:val="0"/>
          <w:numId w:val="19"/>
        </w:numPr>
      </w:pPr>
      <w:r>
        <w:t>Check life company and insurer guidelines for extra documents.</w:t>
      </w:r>
    </w:p>
    <w:p w14:paraId="0B5A2C9E" w14:textId="77777777" w:rsidR="00DF37A4" w:rsidRDefault="00831758">
      <w:pPr>
        <w:pStyle w:val="Compact"/>
        <w:numPr>
          <w:ilvl w:val="0"/>
          <w:numId w:val="19"/>
        </w:numPr>
      </w:pPr>
      <w:r>
        <w:t>Notify your supervisor of any irregularities.</w:t>
      </w:r>
    </w:p>
    <w:p w14:paraId="1D6E5C6D" w14:textId="77777777" w:rsidR="00DF37A4" w:rsidRDefault="00831758">
      <w:pPr>
        <w:pStyle w:val="Compact"/>
        <w:numPr>
          <w:ilvl w:val="0"/>
          <w:numId w:val="19"/>
        </w:numPr>
      </w:pPr>
      <w:r>
        <w:t>Document all correspondence regarding special handling.</w:t>
      </w:r>
    </w:p>
    <w:p w14:paraId="2DDC8FD3" w14:textId="77777777" w:rsidR="00DF37A4" w:rsidRDefault="00831758">
      <w:pPr>
        <w:pStyle w:val="BlockText"/>
      </w:pPr>
      <w:r>
        <w:t xml:space="preserve">💡 </w:t>
      </w:r>
      <w:r>
        <w:rPr>
          <w:b/>
          <w:bCs/>
        </w:rPr>
        <w:t>Pro Tip:</w:t>
      </w:r>
      <w:r>
        <w:t xml:space="preserve"> Keep a running list of exceptions for quick reference.</w:t>
      </w:r>
    </w:p>
    <w:p w14:paraId="01865D69" w14:textId="77777777" w:rsidR="00DF37A4" w:rsidRDefault="00000000">
      <w:r>
        <w:rPr>
          <w:noProof/>
        </w:rPr>
        <w:pict w14:anchorId="50C5260E">
          <v:rect id="_x0000_i1032" alt="" style="width:468pt;height:.05pt;mso-width-percent:0;mso-height-percent:0;mso-width-percent:0;mso-height-percent:0" o:hralign="center" o:hrstd="t" o:hr="t"/>
        </w:pict>
      </w:r>
    </w:p>
    <w:p w14:paraId="1ABA2AC3" w14:textId="77777777" w:rsidR="00DF37A4" w:rsidRPr="00B60F61" w:rsidRDefault="00831758">
      <w:pPr>
        <w:pStyle w:val="Heading2"/>
        <w:rPr>
          <w:b/>
          <w:bCs/>
        </w:rPr>
      </w:pPr>
      <w:bookmarkStart w:id="15" w:name="step-5-finalize-and-execute-documents"/>
      <w:bookmarkEnd w:id="12"/>
      <w:bookmarkEnd w:id="14"/>
      <w:r w:rsidRPr="00B60F61">
        <w:rPr>
          <w:b/>
          <w:bCs/>
        </w:rPr>
        <w:t>🖋️ Step 5: Finalize and Execute Documents</w:t>
      </w:r>
    </w:p>
    <w:p w14:paraId="7307355B" w14:textId="77777777" w:rsidR="00DF37A4" w:rsidRDefault="00831758">
      <w:pPr>
        <w:pStyle w:val="FirstParagraph"/>
      </w:pPr>
      <w:r>
        <w:t>Now it’s time to get everything signed and approved.</w:t>
      </w:r>
    </w:p>
    <w:p w14:paraId="7696EA71" w14:textId="77777777" w:rsidR="00DF37A4" w:rsidRDefault="00831758">
      <w:pPr>
        <w:pStyle w:val="Heading3"/>
      </w:pPr>
      <w:bookmarkStart w:id="16" w:name="tasks-3"/>
      <w:r>
        <w:t>Tasks</w:t>
      </w:r>
    </w:p>
    <w:p w14:paraId="16ACD562" w14:textId="66F5CE93" w:rsidR="00DF37A4" w:rsidRDefault="00831758">
      <w:pPr>
        <w:pStyle w:val="Compact"/>
        <w:numPr>
          <w:ilvl w:val="0"/>
          <w:numId w:val="20"/>
        </w:numPr>
      </w:pPr>
      <w:r>
        <w:t xml:space="preserve">Follow up with counsel </w:t>
      </w:r>
      <w:r>
        <w:rPr>
          <w:b/>
          <w:bCs/>
        </w:rPr>
        <w:t>4–5 business days</w:t>
      </w:r>
      <w:r>
        <w:t xml:space="preserve"> after sending draft documents.</w:t>
      </w:r>
    </w:p>
    <w:p w14:paraId="7F82CC77" w14:textId="77777777" w:rsidR="00DF37A4" w:rsidRDefault="00831758">
      <w:pPr>
        <w:pStyle w:val="Compact"/>
        <w:numPr>
          <w:ilvl w:val="0"/>
          <w:numId w:val="20"/>
        </w:numPr>
      </w:pPr>
      <w:r>
        <w:t>Confirm who sends drafts to opposing counsel.</w:t>
      </w:r>
    </w:p>
    <w:p w14:paraId="57EAF674" w14:textId="77777777" w:rsidR="00DF37A4" w:rsidRDefault="00831758">
      <w:pPr>
        <w:pStyle w:val="Compact"/>
        <w:numPr>
          <w:ilvl w:val="0"/>
          <w:numId w:val="20"/>
        </w:numPr>
      </w:pPr>
      <w:r>
        <w:t>Follow up one month later to confirm final signatures.</w:t>
      </w:r>
    </w:p>
    <w:p w14:paraId="6BFD987B" w14:textId="77777777" w:rsidR="00DF37A4" w:rsidRDefault="00831758">
      <w:pPr>
        <w:pStyle w:val="Compact"/>
        <w:numPr>
          <w:ilvl w:val="0"/>
          <w:numId w:val="20"/>
        </w:numPr>
      </w:pPr>
      <w:r>
        <w:t xml:space="preserve">Use </w:t>
      </w:r>
      <w:r>
        <w:rPr>
          <w:b/>
          <w:bCs/>
        </w:rPr>
        <w:t>Adobe Sign</w:t>
      </w:r>
      <w:r>
        <w:t xml:space="preserve"> or mail for document exchange.</w:t>
      </w:r>
    </w:p>
    <w:p w14:paraId="7ACF8670" w14:textId="7F02C40D" w:rsidR="00DF37A4" w:rsidRDefault="00831758">
      <w:pPr>
        <w:pStyle w:val="Compact"/>
        <w:numPr>
          <w:ilvl w:val="0"/>
          <w:numId w:val="20"/>
        </w:numPr>
      </w:pPr>
      <w:r>
        <w:t>Wait until the premium is received before releasing signed settlement</w:t>
      </w:r>
      <w:r w:rsidR="008D6429">
        <w:t>s</w:t>
      </w:r>
      <w:r>
        <w:t>.</w:t>
      </w:r>
    </w:p>
    <w:p w14:paraId="06657C4A" w14:textId="77777777" w:rsidR="00DF37A4" w:rsidRDefault="00831758">
      <w:pPr>
        <w:pStyle w:val="Heading3"/>
      </w:pPr>
      <w:bookmarkStart w:id="17" w:name="checklist"/>
      <w:bookmarkEnd w:id="16"/>
      <w:r>
        <w:t>Checklist</w:t>
      </w:r>
    </w:p>
    <w:p w14:paraId="7E5DD143" w14:textId="77777777" w:rsidR="00DF37A4" w:rsidRDefault="00831758">
      <w:pPr>
        <w:pStyle w:val="Compact"/>
        <w:numPr>
          <w:ilvl w:val="0"/>
          <w:numId w:val="21"/>
        </w:numPr>
      </w:pPr>
      <w:r>
        <w:t>All drafts reviewed and approved</w:t>
      </w:r>
      <w:r>
        <w:br/>
      </w:r>
    </w:p>
    <w:p w14:paraId="7031E1E3" w14:textId="77777777" w:rsidR="00DF37A4" w:rsidRDefault="00831758">
      <w:pPr>
        <w:pStyle w:val="Compact"/>
        <w:numPr>
          <w:ilvl w:val="0"/>
          <w:numId w:val="22"/>
        </w:numPr>
      </w:pPr>
      <w:r>
        <w:t>Signature responsibilities confirmed</w:t>
      </w:r>
      <w:r>
        <w:br/>
      </w:r>
    </w:p>
    <w:p w14:paraId="44B3A6B1" w14:textId="77777777" w:rsidR="00DF37A4" w:rsidRDefault="00831758">
      <w:pPr>
        <w:pStyle w:val="Compact"/>
        <w:numPr>
          <w:ilvl w:val="0"/>
          <w:numId w:val="23"/>
        </w:numPr>
      </w:pPr>
      <w:r>
        <w:lastRenderedPageBreak/>
        <w:t>Final copies saved</w:t>
      </w:r>
      <w:r>
        <w:br/>
      </w:r>
    </w:p>
    <w:p w14:paraId="3B0EBD6D" w14:textId="77777777" w:rsidR="00DF37A4" w:rsidRDefault="00831758">
      <w:pPr>
        <w:pStyle w:val="Compact"/>
        <w:numPr>
          <w:ilvl w:val="0"/>
          <w:numId w:val="24"/>
        </w:numPr>
      </w:pPr>
      <w:r>
        <w:t>Premium received</w:t>
      </w:r>
    </w:p>
    <w:p w14:paraId="3F85D25E" w14:textId="77777777" w:rsidR="00DF37A4" w:rsidRDefault="00831758">
      <w:pPr>
        <w:pStyle w:val="BlockText"/>
      </w:pPr>
      <w:r>
        <w:t xml:space="preserve">⚠️ </w:t>
      </w:r>
      <w:r>
        <w:rPr>
          <w:b/>
          <w:bCs/>
        </w:rPr>
        <w:t>Caution:</w:t>
      </w:r>
      <w:r>
        <w:t xml:space="preserve"> Sending documents before premium receipt can create liability exposure.</w:t>
      </w:r>
    </w:p>
    <w:p w14:paraId="0BE43CD7" w14:textId="77777777" w:rsidR="00DF37A4" w:rsidRDefault="00000000">
      <w:r>
        <w:rPr>
          <w:noProof/>
        </w:rPr>
        <w:pict w14:anchorId="3651C1FA">
          <v:rect id="_x0000_i1033" alt="" style="width:468pt;height:.05pt;mso-width-percent:0;mso-height-percent:0;mso-width-percent:0;mso-height-percent:0" o:hralign="center" o:hrstd="t" o:hr="t"/>
        </w:pict>
      </w:r>
    </w:p>
    <w:p w14:paraId="4DFEABAB" w14:textId="77777777" w:rsidR="00DF37A4" w:rsidRPr="00B60F61" w:rsidRDefault="00831758">
      <w:pPr>
        <w:pStyle w:val="Heading2"/>
        <w:rPr>
          <w:b/>
          <w:bCs/>
        </w:rPr>
      </w:pPr>
      <w:bookmarkStart w:id="18" w:name="step-6-submit-premiums-to-life-company"/>
      <w:bookmarkEnd w:id="15"/>
      <w:bookmarkEnd w:id="17"/>
      <w:r w:rsidRPr="00B60F61">
        <w:rPr>
          <w:b/>
          <w:bCs/>
        </w:rPr>
        <w:t>💰 Step 6: Submit Premiums to Life Company</w:t>
      </w:r>
    </w:p>
    <w:p w14:paraId="3E0C955D" w14:textId="77777777" w:rsidR="00DF37A4" w:rsidRDefault="00831758">
      <w:pPr>
        <w:pStyle w:val="FirstParagraph"/>
      </w:pPr>
      <w:r>
        <w:t>This is where accuracy and timing are critical.</w:t>
      </w:r>
    </w:p>
    <w:p w14:paraId="03CAED40" w14:textId="77777777" w:rsidR="00DF37A4" w:rsidRDefault="00831758">
      <w:pPr>
        <w:pStyle w:val="Heading3"/>
      </w:pPr>
      <w:bookmarkStart w:id="19" w:name="tasks-4"/>
      <w:r>
        <w:t>Tasks</w:t>
      </w:r>
    </w:p>
    <w:p w14:paraId="1AFC6946" w14:textId="77777777" w:rsidR="00DF37A4" w:rsidRDefault="00831758">
      <w:pPr>
        <w:pStyle w:val="Compact"/>
        <w:numPr>
          <w:ilvl w:val="0"/>
          <w:numId w:val="25"/>
        </w:numPr>
      </w:pPr>
      <w:r>
        <w:t>Request the premium check(s) with proper authorization.</w:t>
      </w:r>
    </w:p>
    <w:p w14:paraId="605F5EAC" w14:textId="77777777" w:rsidR="00DF37A4" w:rsidRDefault="00831758">
      <w:pPr>
        <w:pStyle w:val="Compact"/>
        <w:numPr>
          <w:ilvl w:val="0"/>
          <w:numId w:val="25"/>
        </w:numPr>
      </w:pPr>
      <w:r>
        <w:t>Confirm payee name and amount upon receipt.</w:t>
      </w:r>
    </w:p>
    <w:p w14:paraId="45BFC7D2" w14:textId="77777777" w:rsidR="00DF37A4" w:rsidRDefault="00831758">
      <w:pPr>
        <w:pStyle w:val="Compact"/>
        <w:numPr>
          <w:ilvl w:val="0"/>
          <w:numId w:val="25"/>
        </w:numPr>
      </w:pPr>
      <w:r>
        <w:t>Contact the adjuster immediately if discrepancies arise.</w:t>
      </w:r>
    </w:p>
    <w:p w14:paraId="6961AD3C" w14:textId="77777777" w:rsidR="00DF37A4" w:rsidRDefault="00831758">
      <w:pPr>
        <w:pStyle w:val="Compact"/>
        <w:numPr>
          <w:ilvl w:val="0"/>
          <w:numId w:val="25"/>
        </w:numPr>
      </w:pPr>
      <w:r>
        <w:t>Send the following package to the life company:</w:t>
      </w:r>
    </w:p>
    <w:p w14:paraId="633FD0DA" w14:textId="77777777" w:rsidR="00DF37A4" w:rsidRDefault="00831758">
      <w:pPr>
        <w:pStyle w:val="Compact"/>
        <w:numPr>
          <w:ilvl w:val="1"/>
          <w:numId w:val="26"/>
        </w:numPr>
      </w:pPr>
      <w:r>
        <w:t>Cover Letter</w:t>
      </w:r>
    </w:p>
    <w:p w14:paraId="223C3747" w14:textId="77777777" w:rsidR="00DF37A4" w:rsidRDefault="00831758">
      <w:pPr>
        <w:pStyle w:val="Compact"/>
        <w:numPr>
          <w:ilvl w:val="1"/>
          <w:numId w:val="26"/>
        </w:numPr>
      </w:pPr>
      <w:r>
        <w:t>Premium Check(s)</w:t>
      </w:r>
    </w:p>
    <w:p w14:paraId="7B2170D6" w14:textId="77777777" w:rsidR="00DF37A4" w:rsidRDefault="00831758">
      <w:pPr>
        <w:pStyle w:val="Compact"/>
        <w:numPr>
          <w:ilvl w:val="1"/>
          <w:numId w:val="26"/>
        </w:numPr>
      </w:pPr>
      <w:r>
        <w:t>Commission Sharing Agreement (if applicable)</w:t>
      </w:r>
    </w:p>
    <w:p w14:paraId="4CF2BDF9" w14:textId="77777777" w:rsidR="00DF37A4" w:rsidRDefault="00831758">
      <w:pPr>
        <w:pStyle w:val="Compact"/>
        <w:numPr>
          <w:ilvl w:val="1"/>
          <w:numId w:val="26"/>
        </w:numPr>
      </w:pPr>
      <w:r>
        <w:t>Locked Quote(s)</w:t>
      </w:r>
    </w:p>
    <w:p w14:paraId="176ED998" w14:textId="77777777" w:rsidR="00DF37A4" w:rsidRDefault="00831758">
      <w:pPr>
        <w:pStyle w:val="Compact"/>
        <w:numPr>
          <w:ilvl w:val="1"/>
          <w:numId w:val="26"/>
        </w:numPr>
      </w:pPr>
      <w:r>
        <w:t>Application (if available)</w:t>
      </w:r>
    </w:p>
    <w:p w14:paraId="129E516C" w14:textId="77777777" w:rsidR="00DF37A4" w:rsidRDefault="00831758">
      <w:pPr>
        <w:pStyle w:val="Heading3"/>
      </w:pPr>
      <w:bookmarkStart w:id="20" w:name="best-practices"/>
      <w:bookmarkEnd w:id="19"/>
      <w:r>
        <w:t>Best Practices</w:t>
      </w:r>
    </w:p>
    <w:p w14:paraId="5EA64E5C" w14:textId="77777777" w:rsidR="00DF37A4" w:rsidRDefault="00831758">
      <w:pPr>
        <w:pStyle w:val="Compact"/>
        <w:numPr>
          <w:ilvl w:val="0"/>
          <w:numId w:val="27"/>
        </w:numPr>
      </w:pPr>
      <w:r>
        <w:t>Maintain a submission log.</w:t>
      </w:r>
    </w:p>
    <w:p w14:paraId="2D190D1E" w14:textId="77777777" w:rsidR="00DF37A4" w:rsidRDefault="00831758">
      <w:pPr>
        <w:pStyle w:val="Compact"/>
        <w:numPr>
          <w:ilvl w:val="0"/>
          <w:numId w:val="27"/>
        </w:numPr>
      </w:pPr>
      <w:r>
        <w:t>Track delivery confirmation.</w:t>
      </w:r>
    </w:p>
    <w:p w14:paraId="35190EBE" w14:textId="77777777" w:rsidR="00DF37A4" w:rsidRDefault="00831758">
      <w:pPr>
        <w:pStyle w:val="Compact"/>
        <w:numPr>
          <w:ilvl w:val="0"/>
          <w:numId w:val="27"/>
        </w:numPr>
      </w:pPr>
      <w:r>
        <w:t>Store scanned copies of checks and documents.</w:t>
      </w:r>
    </w:p>
    <w:p w14:paraId="1D575682" w14:textId="77777777" w:rsidR="00DF37A4" w:rsidRDefault="00831758">
      <w:pPr>
        <w:pStyle w:val="BlockText"/>
      </w:pPr>
      <w:r>
        <w:t xml:space="preserve">💡 </w:t>
      </w:r>
      <w:r>
        <w:rPr>
          <w:b/>
          <w:bCs/>
        </w:rPr>
        <w:t>Pro Tip:</w:t>
      </w:r>
      <w:r>
        <w:t xml:space="preserve"> Always confirm with the life company that funds were received in good order.</w:t>
      </w:r>
    </w:p>
    <w:p w14:paraId="3A9E77A4" w14:textId="77777777" w:rsidR="00DF37A4" w:rsidRDefault="00000000">
      <w:r>
        <w:rPr>
          <w:noProof/>
        </w:rPr>
        <w:pict w14:anchorId="798B53F5">
          <v:rect id="_x0000_i1034" alt="" style="width:468pt;height:.05pt;mso-width-percent:0;mso-height-percent:0;mso-width-percent:0;mso-height-percent:0" o:hralign="center" o:hrstd="t" o:hr="t"/>
        </w:pict>
      </w:r>
    </w:p>
    <w:p w14:paraId="6C60B42E" w14:textId="77777777" w:rsidR="00DF37A4" w:rsidRPr="00B60F61" w:rsidRDefault="00831758">
      <w:pPr>
        <w:pStyle w:val="Heading2"/>
        <w:rPr>
          <w:b/>
          <w:bCs/>
        </w:rPr>
      </w:pPr>
      <w:bookmarkStart w:id="21" w:name="step-7-request-contract-close-the-case"/>
      <w:bookmarkEnd w:id="18"/>
      <w:bookmarkEnd w:id="20"/>
      <w:r w:rsidRPr="00B60F61">
        <w:rPr>
          <w:b/>
          <w:bCs/>
        </w:rPr>
        <w:t>📜 Step 7: Request Contract &amp; Close the Case</w:t>
      </w:r>
    </w:p>
    <w:p w14:paraId="54ED2E3D" w14:textId="77777777" w:rsidR="00DF37A4" w:rsidRDefault="00831758">
      <w:pPr>
        <w:pStyle w:val="FirstParagraph"/>
      </w:pPr>
      <w:r>
        <w:t>Once funds are sent, prepare to finalize everything.</w:t>
      </w:r>
    </w:p>
    <w:p w14:paraId="2A13B8CC" w14:textId="77777777" w:rsidR="00DF37A4" w:rsidRDefault="00831758">
      <w:pPr>
        <w:pStyle w:val="Heading3"/>
      </w:pPr>
      <w:bookmarkStart w:id="22" w:name="tasks-5"/>
      <w:r>
        <w:t>Tasks</w:t>
      </w:r>
    </w:p>
    <w:p w14:paraId="51A52D65" w14:textId="77777777" w:rsidR="00DF37A4" w:rsidRDefault="00831758">
      <w:pPr>
        <w:pStyle w:val="Compact"/>
        <w:numPr>
          <w:ilvl w:val="0"/>
          <w:numId w:val="28"/>
        </w:numPr>
      </w:pPr>
      <w:r>
        <w:t>Submit required documents to the life company:</w:t>
      </w:r>
    </w:p>
    <w:p w14:paraId="48CB59E0" w14:textId="77777777" w:rsidR="00DF37A4" w:rsidRDefault="00831758">
      <w:pPr>
        <w:pStyle w:val="Compact"/>
        <w:numPr>
          <w:ilvl w:val="1"/>
          <w:numId w:val="29"/>
        </w:numPr>
      </w:pPr>
      <w:r>
        <w:t>Premium</w:t>
      </w:r>
    </w:p>
    <w:p w14:paraId="3C43CC94" w14:textId="77777777" w:rsidR="00DF37A4" w:rsidRDefault="00831758">
      <w:pPr>
        <w:pStyle w:val="Compact"/>
        <w:numPr>
          <w:ilvl w:val="1"/>
          <w:numId w:val="29"/>
        </w:numPr>
      </w:pPr>
      <w:r>
        <w:t>Application</w:t>
      </w:r>
    </w:p>
    <w:p w14:paraId="100C1A51" w14:textId="77777777" w:rsidR="00DF37A4" w:rsidRDefault="00831758">
      <w:pPr>
        <w:pStyle w:val="Compact"/>
        <w:numPr>
          <w:ilvl w:val="1"/>
          <w:numId w:val="29"/>
        </w:numPr>
      </w:pPr>
      <w:r>
        <w:lastRenderedPageBreak/>
        <w:t>Settlement Agreement</w:t>
      </w:r>
    </w:p>
    <w:p w14:paraId="3B5A5304" w14:textId="77777777" w:rsidR="00DF37A4" w:rsidRDefault="00831758">
      <w:pPr>
        <w:pStyle w:val="Compact"/>
        <w:numPr>
          <w:ilvl w:val="1"/>
          <w:numId w:val="29"/>
        </w:numPr>
      </w:pPr>
      <w:r>
        <w:t>Qualified Assignment (QA)</w:t>
      </w:r>
    </w:p>
    <w:p w14:paraId="132FA622" w14:textId="77777777" w:rsidR="00DF37A4" w:rsidRDefault="00831758">
      <w:pPr>
        <w:pStyle w:val="Compact"/>
        <w:numPr>
          <w:ilvl w:val="1"/>
          <w:numId w:val="29"/>
        </w:numPr>
      </w:pPr>
      <w:r>
        <w:t>Release/Addendum</w:t>
      </w:r>
    </w:p>
    <w:p w14:paraId="26052C7D" w14:textId="77777777" w:rsidR="00DF37A4" w:rsidRDefault="00831758">
      <w:pPr>
        <w:pStyle w:val="Compact"/>
        <w:numPr>
          <w:ilvl w:val="1"/>
          <w:numId w:val="29"/>
        </w:numPr>
      </w:pPr>
      <w:r>
        <w:t>Workers’ Comp approvals</w:t>
      </w:r>
    </w:p>
    <w:p w14:paraId="2F886B7D" w14:textId="77777777" w:rsidR="00DF37A4" w:rsidRDefault="00831758">
      <w:pPr>
        <w:pStyle w:val="Compact"/>
        <w:numPr>
          <w:ilvl w:val="1"/>
          <w:numId w:val="29"/>
        </w:numPr>
      </w:pPr>
      <w:r>
        <w:t>Transfer of obligation letters</w:t>
      </w:r>
    </w:p>
    <w:p w14:paraId="1F90571B" w14:textId="77777777" w:rsidR="00DF37A4" w:rsidRDefault="00831758">
      <w:pPr>
        <w:pStyle w:val="Compact"/>
        <w:numPr>
          <w:ilvl w:val="1"/>
          <w:numId w:val="29"/>
        </w:numPr>
      </w:pPr>
      <w:r>
        <w:t>Court orders (if required)</w:t>
      </w:r>
    </w:p>
    <w:p w14:paraId="7F6A5F3A" w14:textId="77777777" w:rsidR="00DF37A4" w:rsidRDefault="00831758">
      <w:pPr>
        <w:pStyle w:val="Compact"/>
        <w:numPr>
          <w:ilvl w:val="0"/>
          <w:numId w:val="28"/>
        </w:numPr>
      </w:pPr>
      <w:r>
        <w:t>Verify issued annuity contracts for accuracy.</w:t>
      </w:r>
    </w:p>
    <w:p w14:paraId="2ED42BA8" w14:textId="77777777" w:rsidR="00DF37A4" w:rsidRDefault="00831758">
      <w:pPr>
        <w:pStyle w:val="Compact"/>
        <w:numPr>
          <w:ilvl w:val="0"/>
          <w:numId w:val="28"/>
        </w:numPr>
      </w:pPr>
      <w:r>
        <w:t>Distribute copies to all parties.</w:t>
      </w:r>
    </w:p>
    <w:p w14:paraId="1C9BA1FA" w14:textId="77777777" w:rsidR="00DF37A4" w:rsidRDefault="00831758">
      <w:pPr>
        <w:pStyle w:val="Compact"/>
        <w:numPr>
          <w:ilvl w:val="0"/>
          <w:numId w:val="28"/>
        </w:numPr>
      </w:pPr>
      <w:r>
        <w:t>Confirm co-brokers have delivered their copies.</w:t>
      </w:r>
    </w:p>
    <w:p w14:paraId="19A1B469" w14:textId="77777777" w:rsidR="00DF37A4" w:rsidRDefault="00831758">
      <w:pPr>
        <w:pStyle w:val="Compact"/>
        <w:numPr>
          <w:ilvl w:val="0"/>
          <w:numId w:val="28"/>
        </w:numPr>
      </w:pPr>
      <w:r>
        <w:t>Archive all documents and mark the case as closed.</w:t>
      </w:r>
    </w:p>
    <w:p w14:paraId="6B92E9A6" w14:textId="77777777" w:rsidR="00DF37A4" w:rsidRDefault="00831758">
      <w:pPr>
        <w:pStyle w:val="Heading3"/>
      </w:pPr>
      <w:bookmarkStart w:id="23" w:name="closing-checklist"/>
      <w:bookmarkEnd w:id="22"/>
      <w:r>
        <w:t>Closing Checklist</w:t>
      </w:r>
    </w:p>
    <w:p w14:paraId="7E1A6669" w14:textId="77777777" w:rsidR="00DF37A4" w:rsidRDefault="00831758">
      <w:pPr>
        <w:pStyle w:val="Compact"/>
        <w:numPr>
          <w:ilvl w:val="0"/>
          <w:numId w:val="30"/>
        </w:numPr>
      </w:pPr>
      <w:r>
        <w:t>Contract reviewed</w:t>
      </w:r>
      <w:r>
        <w:br/>
      </w:r>
    </w:p>
    <w:p w14:paraId="55D7B391" w14:textId="77777777" w:rsidR="00DF37A4" w:rsidRDefault="00831758">
      <w:pPr>
        <w:pStyle w:val="Compact"/>
        <w:numPr>
          <w:ilvl w:val="0"/>
          <w:numId w:val="31"/>
        </w:numPr>
      </w:pPr>
      <w:r>
        <w:t>Benefits match final quote</w:t>
      </w:r>
      <w:r>
        <w:br/>
      </w:r>
    </w:p>
    <w:p w14:paraId="4F10B165" w14:textId="77777777" w:rsidR="00DF37A4" w:rsidRDefault="00831758">
      <w:pPr>
        <w:pStyle w:val="Compact"/>
        <w:numPr>
          <w:ilvl w:val="0"/>
          <w:numId w:val="32"/>
        </w:numPr>
      </w:pPr>
      <w:r>
        <w:t>All documents executed</w:t>
      </w:r>
      <w:r>
        <w:br/>
      </w:r>
    </w:p>
    <w:p w14:paraId="4E7242DC" w14:textId="77777777" w:rsidR="00DF37A4" w:rsidRDefault="00831758">
      <w:pPr>
        <w:pStyle w:val="Compact"/>
        <w:numPr>
          <w:ilvl w:val="0"/>
          <w:numId w:val="33"/>
        </w:numPr>
      </w:pPr>
      <w:r>
        <w:t>Copies distributed</w:t>
      </w:r>
      <w:r>
        <w:br/>
      </w:r>
    </w:p>
    <w:p w14:paraId="107BE397" w14:textId="77777777" w:rsidR="00DF37A4" w:rsidRDefault="00831758">
      <w:pPr>
        <w:pStyle w:val="Compact"/>
        <w:numPr>
          <w:ilvl w:val="0"/>
          <w:numId w:val="34"/>
        </w:numPr>
      </w:pPr>
      <w:r>
        <w:t>Case marked closed</w:t>
      </w:r>
    </w:p>
    <w:p w14:paraId="7BD6E062" w14:textId="77777777" w:rsidR="00DF37A4" w:rsidRDefault="00831758">
      <w:pPr>
        <w:pStyle w:val="BlockText"/>
      </w:pPr>
      <w:r>
        <w:t xml:space="preserve">💡 </w:t>
      </w:r>
      <w:r>
        <w:rPr>
          <w:b/>
          <w:bCs/>
        </w:rPr>
        <w:t>Pro Tip:</w:t>
      </w:r>
      <w:r>
        <w:t xml:space="preserve"> Retain records until all structured payments have been made.</w:t>
      </w:r>
    </w:p>
    <w:p w14:paraId="7D6B0935" w14:textId="77777777" w:rsidR="00DF37A4" w:rsidRDefault="00000000">
      <w:r>
        <w:rPr>
          <w:noProof/>
        </w:rPr>
        <w:pict w14:anchorId="7120CA6C">
          <v:rect id="_x0000_i1035" alt="" style="width:468pt;height:.05pt;mso-width-percent:0;mso-height-percent:0;mso-width-percent:0;mso-height-percent:0" o:hralign="center" o:hrstd="t" o:hr="t"/>
        </w:pict>
      </w:r>
    </w:p>
    <w:p w14:paraId="0E4D2EF7" w14:textId="77777777" w:rsidR="00DF37A4" w:rsidRPr="00B60F61" w:rsidRDefault="00831758">
      <w:pPr>
        <w:pStyle w:val="Heading2"/>
        <w:rPr>
          <w:b/>
          <w:bCs/>
        </w:rPr>
      </w:pPr>
      <w:bookmarkStart w:id="24" w:name="appendix-sample-forms-checklists"/>
      <w:bookmarkEnd w:id="21"/>
      <w:bookmarkEnd w:id="23"/>
      <w:r w:rsidRPr="00B60F61">
        <w:rPr>
          <w:b/>
          <w:bCs/>
        </w:rPr>
        <w:t>📎 Appendix: Sample Forms &amp; Checklists</w:t>
      </w:r>
    </w:p>
    <w:p w14:paraId="420F852F" w14:textId="77777777" w:rsidR="00DF37A4" w:rsidRDefault="00831758">
      <w:pPr>
        <w:pStyle w:val="Heading3"/>
      </w:pPr>
      <w:bookmarkStart w:id="25" w:name="case-intake-sheet-example"/>
      <w:r>
        <w:t>Case Intake Sheet (Example)</w:t>
      </w:r>
    </w:p>
    <w:tbl>
      <w:tblPr>
        <w:tblStyle w:val="Table"/>
        <w:tblW w:w="0" w:type="auto"/>
        <w:tblLook w:val="0020" w:firstRow="1" w:lastRow="0" w:firstColumn="0" w:lastColumn="0" w:noHBand="0" w:noVBand="0"/>
      </w:tblPr>
      <w:tblGrid>
        <w:gridCol w:w="2235"/>
        <w:gridCol w:w="1422"/>
      </w:tblGrid>
      <w:tr w:rsidR="00DF37A4" w14:paraId="4BDF0685" w14:textId="77777777" w:rsidTr="00DF37A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0" w:type="auto"/>
          </w:tcPr>
          <w:p w14:paraId="6875328A" w14:textId="77777777" w:rsidR="00DF37A4" w:rsidRDefault="00831758">
            <w:pPr>
              <w:pStyle w:val="Compact"/>
            </w:pPr>
            <w:r>
              <w:t>Field</w:t>
            </w:r>
          </w:p>
        </w:tc>
        <w:tc>
          <w:tcPr>
            <w:tcW w:w="0" w:type="auto"/>
          </w:tcPr>
          <w:p w14:paraId="7320C97F" w14:textId="77777777" w:rsidR="00DF37A4" w:rsidRDefault="00831758">
            <w:pPr>
              <w:pStyle w:val="Compact"/>
            </w:pPr>
            <w:r>
              <w:t>Description</w:t>
            </w:r>
          </w:p>
        </w:tc>
      </w:tr>
      <w:tr w:rsidR="00DF37A4" w14:paraId="7A88F3D8" w14:textId="77777777">
        <w:tc>
          <w:tcPr>
            <w:tcW w:w="0" w:type="auto"/>
          </w:tcPr>
          <w:p w14:paraId="460A000C" w14:textId="77777777" w:rsidR="00DF37A4" w:rsidRDefault="00831758">
            <w:pPr>
              <w:pStyle w:val="Compact"/>
            </w:pPr>
            <w:r>
              <w:t>Client Name</w:t>
            </w:r>
          </w:p>
        </w:tc>
        <w:tc>
          <w:tcPr>
            <w:tcW w:w="0" w:type="auto"/>
          </w:tcPr>
          <w:p w14:paraId="08B09D23" w14:textId="77777777" w:rsidR="00DF37A4" w:rsidRDefault="00DF37A4">
            <w:pPr>
              <w:pStyle w:val="Compact"/>
            </w:pPr>
          </w:p>
        </w:tc>
      </w:tr>
      <w:tr w:rsidR="00DF37A4" w14:paraId="5144B7C3" w14:textId="77777777">
        <w:tc>
          <w:tcPr>
            <w:tcW w:w="0" w:type="auto"/>
          </w:tcPr>
          <w:p w14:paraId="72FFA525" w14:textId="77777777" w:rsidR="00DF37A4" w:rsidRDefault="00831758">
            <w:pPr>
              <w:pStyle w:val="Compact"/>
            </w:pPr>
            <w:r>
              <w:t>Date of Birth</w:t>
            </w:r>
          </w:p>
        </w:tc>
        <w:tc>
          <w:tcPr>
            <w:tcW w:w="0" w:type="auto"/>
          </w:tcPr>
          <w:p w14:paraId="546F6A10" w14:textId="77777777" w:rsidR="00DF37A4" w:rsidRDefault="00DF37A4">
            <w:pPr>
              <w:pStyle w:val="Compact"/>
            </w:pPr>
          </w:p>
        </w:tc>
      </w:tr>
      <w:tr w:rsidR="00DF37A4" w14:paraId="611B2118" w14:textId="77777777">
        <w:tc>
          <w:tcPr>
            <w:tcW w:w="0" w:type="auto"/>
          </w:tcPr>
          <w:p w14:paraId="544A8669" w14:textId="77777777" w:rsidR="00DF37A4" w:rsidRDefault="00831758">
            <w:pPr>
              <w:pStyle w:val="Compact"/>
            </w:pPr>
            <w:r>
              <w:t>Case Type</w:t>
            </w:r>
          </w:p>
        </w:tc>
        <w:tc>
          <w:tcPr>
            <w:tcW w:w="0" w:type="auto"/>
          </w:tcPr>
          <w:p w14:paraId="4A134A6D" w14:textId="77777777" w:rsidR="00DF37A4" w:rsidRDefault="00DF37A4">
            <w:pPr>
              <w:pStyle w:val="Compact"/>
            </w:pPr>
          </w:p>
        </w:tc>
      </w:tr>
      <w:tr w:rsidR="00DF37A4" w14:paraId="31F18D2B" w14:textId="77777777">
        <w:tc>
          <w:tcPr>
            <w:tcW w:w="0" w:type="auto"/>
          </w:tcPr>
          <w:p w14:paraId="68D18C54" w14:textId="77777777" w:rsidR="00DF37A4" w:rsidRDefault="00831758">
            <w:pPr>
              <w:pStyle w:val="Compact"/>
            </w:pPr>
            <w:r>
              <w:t>Insurer</w:t>
            </w:r>
          </w:p>
        </w:tc>
        <w:tc>
          <w:tcPr>
            <w:tcW w:w="0" w:type="auto"/>
          </w:tcPr>
          <w:p w14:paraId="4A0160F6" w14:textId="77777777" w:rsidR="00DF37A4" w:rsidRDefault="00DF37A4">
            <w:pPr>
              <w:pStyle w:val="Compact"/>
            </w:pPr>
          </w:p>
        </w:tc>
      </w:tr>
      <w:tr w:rsidR="00DF37A4" w14:paraId="70C39C76" w14:textId="77777777">
        <w:tc>
          <w:tcPr>
            <w:tcW w:w="0" w:type="auto"/>
          </w:tcPr>
          <w:p w14:paraId="1AC16F42" w14:textId="77777777" w:rsidR="00DF37A4" w:rsidRDefault="00831758">
            <w:pPr>
              <w:pStyle w:val="Compact"/>
            </w:pPr>
            <w:r>
              <w:t>Settlement Amount</w:t>
            </w:r>
          </w:p>
        </w:tc>
        <w:tc>
          <w:tcPr>
            <w:tcW w:w="0" w:type="auto"/>
          </w:tcPr>
          <w:p w14:paraId="09D5F924" w14:textId="77777777" w:rsidR="00DF37A4" w:rsidRDefault="00DF37A4">
            <w:pPr>
              <w:pStyle w:val="Compact"/>
            </w:pPr>
          </w:p>
        </w:tc>
      </w:tr>
      <w:tr w:rsidR="00DF37A4" w14:paraId="34F52799" w14:textId="77777777">
        <w:tc>
          <w:tcPr>
            <w:tcW w:w="0" w:type="auto"/>
          </w:tcPr>
          <w:p w14:paraId="1B565886" w14:textId="77777777" w:rsidR="00DF37A4" w:rsidRDefault="00831758">
            <w:pPr>
              <w:pStyle w:val="Compact"/>
            </w:pPr>
            <w:r>
              <w:t>Assigned Broker</w:t>
            </w:r>
          </w:p>
        </w:tc>
        <w:tc>
          <w:tcPr>
            <w:tcW w:w="0" w:type="auto"/>
          </w:tcPr>
          <w:p w14:paraId="5A8ED7AE" w14:textId="77777777" w:rsidR="00DF37A4" w:rsidRDefault="00DF37A4">
            <w:pPr>
              <w:pStyle w:val="Compact"/>
            </w:pPr>
          </w:p>
        </w:tc>
      </w:tr>
    </w:tbl>
    <w:p w14:paraId="3BFCD5F3" w14:textId="77777777" w:rsidR="00DF37A4" w:rsidRDefault="00831758">
      <w:pPr>
        <w:pStyle w:val="Heading3"/>
      </w:pPr>
      <w:bookmarkStart w:id="26" w:name="submission-checklist-example"/>
      <w:bookmarkEnd w:id="25"/>
      <w:r>
        <w:lastRenderedPageBreak/>
        <w:t>Submission Checklist (Example)</w:t>
      </w:r>
    </w:p>
    <w:tbl>
      <w:tblPr>
        <w:tblStyle w:val="Table"/>
        <w:tblW w:w="0" w:type="auto"/>
        <w:tblLook w:val="0020" w:firstRow="1" w:lastRow="0" w:firstColumn="0" w:lastColumn="0" w:noHBand="0" w:noVBand="0"/>
      </w:tblPr>
      <w:tblGrid>
        <w:gridCol w:w="1925"/>
        <w:gridCol w:w="1160"/>
        <w:gridCol w:w="1012"/>
      </w:tblGrid>
      <w:tr w:rsidR="00DF37A4" w14:paraId="2C22DC99" w14:textId="77777777" w:rsidTr="00DF37A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0" w:type="auto"/>
          </w:tcPr>
          <w:p w14:paraId="6DA89C0C" w14:textId="77777777" w:rsidR="00DF37A4" w:rsidRDefault="00831758">
            <w:pPr>
              <w:pStyle w:val="Compact"/>
            </w:pPr>
            <w:r>
              <w:t>Item</w:t>
            </w:r>
          </w:p>
        </w:tc>
        <w:tc>
          <w:tcPr>
            <w:tcW w:w="0" w:type="auto"/>
          </w:tcPr>
          <w:p w14:paraId="78777137" w14:textId="77777777" w:rsidR="00DF37A4" w:rsidRDefault="00831758">
            <w:pPr>
              <w:pStyle w:val="Compact"/>
            </w:pPr>
            <w:r>
              <w:t>Attached</w:t>
            </w:r>
          </w:p>
        </w:tc>
        <w:tc>
          <w:tcPr>
            <w:tcW w:w="0" w:type="auto"/>
          </w:tcPr>
          <w:p w14:paraId="193F4ABC" w14:textId="77777777" w:rsidR="00DF37A4" w:rsidRDefault="00831758">
            <w:pPr>
              <w:pStyle w:val="Compact"/>
            </w:pPr>
            <w:r>
              <w:t>Verified</w:t>
            </w:r>
          </w:p>
        </w:tc>
      </w:tr>
      <w:tr w:rsidR="00DF37A4" w14:paraId="15585973" w14:textId="77777777">
        <w:tc>
          <w:tcPr>
            <w:tcW w:w="0" w:type="auto"/>
          </w:tcPr>
          <w:p w14:paraId="5075AC4D" w14:textId="77777777" w:rsidR="00DF37A4" w:rsidRDefault="00831758">
            <w:pPr>
              <w:pStyle w:val="Compact"/>
            </w:pPr>
            <w:r>
              <w:t>Release</w:t>
            </w:r>
          </w:p>
        </w:tc>
        <w:tc>
          <w:tcPr>
            <w:tcW w:w="0" w:type="auto"/>
          </w:tcPr>
          <w:p w14:paraId="4D5FF431" w14:textId="77777777" w:rsidR="00DF37A4" w:rsidRDefault="00831758">
            <w:pPr>
              <w:pStyle w:val="Compact"/>
            </w:pPr>
            <w:r>
              <w:t>☐</w:t>
            </w:r>
          </w:p>
        </w:tc>
        <w:tc>
          <w:tcPr>
            <w:tcW w:w="0" w:type="auto"/>
          </w:tcPr>
          <w:p w14:paraId="7527DD0E" w14:textId="77777777" w:rsidR="00DF37A4" w:rsidRDefault="00831758">
            <w:pPr>
              <w:pStyle w:val="Compact"/>
            </w:pPr>
            <w:r>
              <w:t>☐</w:t>
            </w:r>
          </w:p>
        </w:tc>
      </w:tr>
      <w:tr w:rsidR="00DF37A4" w14:paraId="70715DC5" w14:textId="77777777">
        <w:tc>
          <w:tcPr>
            <w:tcW w:w="0" w:type="auto"/>
          </w:tcPr>
          <w:p w14:paraId="796C51E3" w14:textId="77777777" w:rsidR="00DF37A4" w:rsidRDefault="00831758">
            <w:pPr>
              <w:pStyle w:val="Compact"/>
            </w:pPr>
            <w:r>
              <w:t>QA Document</w:t>
            </w:r>
          </w:p>
        </w:tc>
        <w:tc>
          <w:tcPr>
            <w:tcW w:w="0" w:type="auto"/>
          </w:tcPr>
          <w:p w14:paraId="4B8E6BBF" w14:textId="77777777" w:rsidR="00DF37A4" w:rsidRDefault="00831758">
            <w:pPr>
              <w:pStyle w:val="Compact"/>
            </w:pPr>
            <w:r>
              <w:t>☐</w:t>
            </w:r>
          </w:p>
        </w:tc>
        <w:tc>
          <w:tcPr>
            <w:tcW w:w="0" w:type="auto"/>
          </w:tcPr>
          <w:p w14:paraId="31C86903" w14:textId="77777777" w:rsidR="00DF37A4" w:rsidRDefault="00831758">
            <w:pPr>
              <w:pStyle w:val="Compact"/>
            </w:pPr>
            <w:r>
              <w:t>☐</w:t>
            </w:r>
          </w:p>
        </w:tc>
      </w:tr>
      <w:tr w:rsidR="00DF37A4" w14:paraId="0DCD2FA3" w14:textId="77777777">
        <w:tc>
          <w:tcPr>
            <w:tcW w:w="0" w:type="auto"/>
          </w:tcPr>
          <w:p w14:paraId="48274BEC" w14:textId="77777777" w:rsidR="00DF37A4" w:rsidRDefault="00831758">
            <w:pPr>
              <w:pStyle w:val="Compact"/>
            </w:pPr>
            <w:r>
              <w:t>Disclosure Form</w:t>
            </w:r>
          </w:p>
        </w:tc>
        <w:tc>
          <w:tcPr>
            <w:tcW w:w="0" w:type="auto"/>
          </w:tcPr>
          <w:p w14:paraId="2698723B" w14:textId="77777777" w:rsidR="00DF37A4" w:rsidRDefault="00831758">
            <w:pPr>
              <w:pStyle w:val="Compact"/>
            </w:pPr>
            <w:r>
              <w:t>☐</w:t>
            </w:r>
          </w:p>
        </w:tc>
        <w:tc>
          <w:tcPr>
            <w:tcW w:w="0" w:type="auto"/>
          </w:tcPr>
          <w:p w14:paraId="4162FE93" w14:textId="77777777" w:rsidR="00DF37A4" w:rsidRDefault="00831758">
            <w:pPr>
              <w:pStyle w:val="Compact"/>
            </w:pPr>
            <w:r>
              <w:t>☐</w:t>
            </w:r>
          </w:p>
        </w:tc>
      </w:tr>
      <w:tr w:rsidR="00DF37A4" w14:paraId="2CB983A5" w14:textId="77777777">
        <w:tc>
          <w:tcPr>
            <w:tcW w:w="0" w:type="auto"/>
          </w:tcPr>
          <w:p w14:paraId="13A938B7" w14:textId="77777777" w:rsidR="00DF37A4" w:rsidRDefault="00831758">
            <w:pPr>
              <w:pStyle w:val="Compact"/>
            </w:pPr>
            <w:r>
              <w:t>Premium Check</w:t>
            </w:r>
          </w:p>
        </w:tc>
        <w:tc>
          <w:tcPr>
            <w:tcW w:w="0" w:type="auto"/>
          </w:tcPr>
          <w:p w14:paraId="5DF1764E" w14:textId="77777777" w:rsidR="00DF37A4" w:rsidRDefault="00831758">
            <w:pPr>
              <w:pStyle w:val="Compact"/>
            </w:pPr>
            <w:r>
              <w:t>☐</w:t>
            </w:r>
          </w:p>
        </w:tc>
        <w:tc>
          <w:tcPr>
            <w:tcW w:w="0" w:type="auto"/>
          </w:tcPr>
          <w:p w14:paraId="13548686" w14:textId="77777777" w:rsidR="00DF37A4" w:rsidRDefault="00831758">
            <w:pPr>
              <w:pStyle w:val="Compact"/>
            </w:pPr>
            <w:r>
              <w:t>☐</w:t>
            </w:r>
          </w:p>
        </w:tc>
      </w:tr>
      <w:tr w:rsidR="00DF37A4" w14:paraId="045F4BC7" w14:textId="77777777">
        <w:tc>
          <w:tcPr>
            <w:tcW w:w="0" w:type="auto"/>
          </w:tcPr>
          <w:p w14:paraId="63FC16EC" w14:textId="77777777" w:rsidR="00DF37A4" w:rsidRDefault="00831758">
            <w:pPr>
              <w:pStyle w:val="Compact"/>
            </w:pPr>
            <w:r>
              <w:t>Cover Letter</w:t>
            </w:r>
          </w:p>
        </w:tc>
        <w:tc>
          <w:tcPr>
            <w:tcW w:w="0" w:type="auto"/>
          </w:tcPr>
          <w:p w14:paraId="59084E99" w14:textId="77777777" w:rsidR="00DF37A4" w:rsidRDefault="00831758">
            <w:pPr>
              <w:pStyle w:val="Compact"/>
            </w:pPr>
            <w:r>
              <w:t>☐</w:t>
            </w:r>
          </w:p>
        </w:tc>
        <w:tc>
          <w:tcPr>
            <w:tcW w:w="0" w:type="auto"/>
          </w:tcPr>
          <w:p w14:paraId="2EBC2EE1" w14:textId="77777777" w:rsidR="00DF37A4" w:rsidRDefault="00831758">
            <w:pPr>
              <w:pStyle w:val="Compact"/>
            </w:pPr>
            <w:r>
              <w:t>☐</w:t>
            </w:r>
          </w:p>
        </w:tc>
      </w:tr>
    </w:tbl>
    <w:p w14:paraId="56EAC332" w14:textId="77777777" w:rsidR="00DF37A4" w:rsidRDefault="00000000">
      <w:r>
        <w:rPr>
          <w:noProof/>
        </w:rPr>
        <w:pict w14:anchorId="12028B25">
          <v:rect id="_x0000_i1036" alt="" style="width:468pt;height:.05pt;mso-width-percent:0;mso-height-percent:0;mso-width-percent:0;mso-height-percent:0" o:hralign="center" o:hrstd="t" o:hr="t"/>
        </w:pict>
      </w:r>
    </w:p>
    <w:p w14:paraId="074F2DF5" w14:textId="77777777" w:rsidR="00DF37A4" w:rsidRPr="00B60F61" w:rsidRDefault="00831758">
      <w:pPr>
        <w:pStyle w:val="Heading2"/>
        <w:rPr>
          <w:b/>
          <w:bCs/>
        </w:rPr>
      </w:pPr>
      <w:bookmarkStart w:id="27" w:name="quick-reference-glossary"/>
      <w:bookmarkEnd w:id="24"/>
      <w:bookmarkEnd w:id="26"/>
      <w:r w:rsidRPr="00B60F61">
        <w:rPr>
          <w:b/>
          <w:bCs/>
        </w:rPr>
        <w:t>📚 Quick Reference Glossary</w:t>
      </w:r>
    </w:p>
    <w:p w14:paraId="03A2CCDA" w14:textId="77777777" w:rsidR="00DF37A4" w:rsidRDefault="00831758">
      <w:pPr>
        <w:pStyle w:val="Compact"/>
        <w:numPr>
          <w:ilvl w:val="0"/>
          <w:numId w:val="35"/>
        </w:numPr>
      </w:pPr>
      <w:r>
        <w:rPr>
          <w:b/>
          <w:bCs/>
        </w:rPr>
        <w:t>QA:</w:t>
      </w:r>
      <w:r>
        <w:t xml:space="preserve"> Qualified Assignment — transfer of settlement payment obligations under IRC Section 130.</w:t>
      </w:r>
    </w:p>
    <w:p w14:paraId="17996731" w14:textId="77777777" w:rsidR="00DF37A4" w:rsidRDefault="00831758">
      <w:pPr>
        <w:pStyle w:val="Compact"/>
        <w:numPr>
          <w:ilvl w:val="0"/>
          <w:numId w:val="35"/>
        </w:numPr>
      </w:pPr>
      <w:r>
        <w:rPr>
          <w:b/>
          <w:bCs/>
        </w:rPr>
        <w:t>CSA:</w:t>
      </w:r>
      <w:r>
        <w:t xml:space="preserve"> Commission Sharing Agreement between brokers.</w:t>
      </w:r>
    </w:p>
    <w:p w14:paraId="73188BC7" w14:textId="28282115" w:rsidR="00DF37A4" w:rsidRDefault="00831758">
      <w:pPr>
        <w:pStyle w:val="Compact"/>
        <w:numPr>
          <w:ilvl w:val="0"/>
          <w:numId w:val="35"/>
        </w:numPr>
      </w:pPr>
      <w:r>
        <w:rPr>
          <w:b/>
          <w:bCs/>
        </w:rPr>
        <w:t>Disclosure Form:</w:t>
      </w:r>
      <w:r>
        <w:t xml:space="preserve"> State-required form outlining settlement details.</w:t>
      </w:r>
    </w:p>
    <w:p w14:paraId="0FB74E5A" w14:textId="77777777" w:rsidR="00DF37A4" w:rsidRDefault="00831758">
      <w:pPr>
        <w:pStyle w:val="Compact"/>
        <w:numPr>
          <w:ilvl w:val="0"/>
          <w:numId w:val="35"/>
        </w:numPr>
      </w:pPr>
      <w:r>
        <w:rPr>
          <w:b/>
          <w:bCs/>
        </w:rPr>
        <w:t>Life Company:</w:t>
      </w:r>
      <w:r>
        <w:t xml:space="preserve"> The insurer issuing the structured annuity.</w:t>
      </w:r>
    </w:p>
    <w:p w14:paraId="06458C52" w14:textId="77777777" w:rsidR="00DF37A4" w:rsidRDefault="00000000">
      <w:r>
        <w:rPr>
          <w:noProof/>
        </w:rPr>
        <w:pict w14:anchorId="06A0D24D">
          <v:rect id="_x0000_i1037" alt="" style="width:468pt;height:.05pt;mso-width-percent:0;mso-height-percent:0;mso-width-percent:0;mso-height-percent:0" o:hralign="center" o:hrstd="t" o:hr="t"/>
        </w:pict>
      </w:r>
    </w:p>
    <w:p w14:paraId="3524CD0D" w14:textId="77777777" w:rsidR="00DF37A4" w:rsidRPr="00B60F61" w:rsidRDefault="00831758">
      <w:pPr>
        <w:pStyle w:val="Heading3"/>
        <w:rPr>
          <w:b/>
          <w:bCs/>
        </w:rPr>
      </w:pPr>
      <w:bookmarkStart w:id="28" w:name="quick-recap"/>
      <w:r w:rsidRPr="00B60F61">
        <w:rPr>
          <w:b/>
          <w:bCs/>
        </w:rPr>
        <w:t>🧠 Quick Recap</w:t>
      </w:r>
    </w:p>
    <w:p w14:paraId="5FDB4C74" w14:textId="21A1C57F" w:rsidR="00DF37A4" w:rsidRDefault="00831758">
      <w:pPr>
        <w:pStyle w:val="FirstParagraph"/>
      </w:pPr>
      <w:r>
        <w:t>✔ Follow each step in order.</w:t>
      </w:r>
      <w:r>
        <w:br/>
        <w:t>✔ Use checklists to ensure compliance.</w:t>
      </w:r>
      <w:r>
        <w:br/>
        <w:t>✔ Communicate regularly with counsel and insurers.</w:t>
      </w:r>
      <w:r>
        <w:br/>
        <w:t>✔ Keep documentation organized at all times.</w:t>
      </w:r>
      <w:r w:rsidR="00B60F61">
        <w:br/>
      </w:r>
    </w:p>
    <w:p w14:paraId="7B10EB15" w14:textId="4BCD36A3" w:rsidR="00DF37A4" w:rsidRPr="00B60F61" w:rsidRDefault="00B60F61" w:rsidP="00B60F61">
      <w:pPr>
        <w:pStyle w:val="BlockText"/>
        <w:ind w:left="0"/>
      </w:pPr>
      <w:r w:rsidRPr="00B60F61">
        <w:t>We hope this guide will be a roadmap to help you manage structured settlement cases confidently and efficiently.</w:t>
      </w:r>
      <w:bookmarkEnd w:id="0"/>
      <w:bookmarkEnd w:id="27"/>
      <w:bookmarkEnd w:id="28"/>
    </w:p>
    <w:sectPr w:rsidR="00DF37A4" w:rsidRPr="00B60F61">
      <w:headerReference w:type="default" r:id="rId7"/>
      <w:footnotePr>
        <w:numRestart w:val="eachSect"/>
      </w:footnotePr>
      <w:pgSz w:w="12240" w:h="15840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FF2500" w14:textId="77777777" w:rsidR="0073730F" w:rsidRDefault="0073730F" w:rsidP="00B60F61">
      <w:pPr>
        <w:spacing w:after="0"/>
      </w:pPr>
      <w:r>
        <w:separator/>
      </w:r>
    </w:p>
  </w:endnote>
  <w:endnote w:type="continuationSeparator" w:id="0">
    <w:p w14:paraId="7ED2E15F" w14:textId="77777777" w:rsidR="0073730F" w:rsidRDefault="0073730F" w:rsidP="00B60F6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8EE77C" w14:textId="77777777" w:rsidR="0073730F" w:rsidRDefault="0073730F" w:rsidP="00B60F61">
      <w:pPr>
        <w:spacing w:after="0"/>
      </w:pPr>
      <w:r>
        <w:separator/>
      </w:r>
    </w:p>
  </w:footnote>
  <w:footnote w:type="continuationSeparator" w:id="0">
    <w:p w14:paraId="029220CB" w14:textId="77777777" w:rsidR="0073730F" w:rsidRDefault="0073730F" w:rsidP="00B60F61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807E53" w14:textId="6C6395BF" w:rsidR="00B60F61" w:rsidRDefault="00B60F61">
    <w:pPr>
      <w:pStyle w:val="Header"/>
    </w:pPr>
    <w:r>
      <w:rPr>
        <w:noProof/>
      </w:rPr>
      <w:drawing>
        <wp:inline distT="0" distB="0" distL="0" distR="0" wp14:anchorId="4374A278" wp14:editId="2D92453C">
          <wp:extent cx="5943600" cy="860425"/>
          <wp:effectExtent l="0" t="0" r="0" b="0"/>
          <wp:docPr id="35973766" name="Picture 1" descr="A close-up of a logo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5973766" name="Picture 1" descr="A close-up of a logo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43600" cy="8604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rect id="_x0000_i1025" style="width:0;height:1.5pt" o:hralign="center" o:bullet="t" o:hrstd="t" o:hr="t"/>
    </w:pict>
  </w:numPicBullet>
  <w:abstractNum w:abstractNumId="0" w15:restartNumberingAfterBreak="0">
    <w:nsid w:val="0000A990"/>
    <w:multiLevelType w:val="multilevel"/>
    <w:tmpl w:val="7136B482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1" w15:restartNumberingAfterBreak="0">
    <w:nsid w:val="0000A991"/>
    <w:multiLevelType w:val="multilevel"/>
    <w:tmpl w:val="5CBC0C08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000A992"/>
    <w:multiLevelType w:val="multilevel"/>
    <w:tmpl w:val="A6D4A1C6"/>
    <w:lvl w:ilvl="0">
      <w:numFmt w:val="bullet"/>
      <w:lvlText w:val="☐"/>
      <w:lvlJc w:val="left"/>
      <w:pPr>
        <w:ind w:left="720" w:hanging="360"/>
      </w:pPr>
    </w:lvl>
    <w:lvl w:ilvl="1">
      <w:numFmt w:val="bullet"/>
      <w:lvlText w:val="☐"/>
      <w:lvlJc w:val="left"/>
      <w:pPr>
        <w:ind w:left="1440" w:hanging="360"/>
      </w:pPr>
    </w:lvl>
    <w:lvl w:ilvl="2">
      <w:numFmt w:val="bullet"/>
      <w:lvlText w:val="☐"/>
      <w:lvlJc w:val="left"/>
      <w:pPr>
        <w:ind w:left="2160" w:hanging="360"/>
      </w:pPr>
    </w:lvl>
    <w:lvl w:ilvl="3">
      <w:numFmt w:val="bullet"/>
      <w:lvlText w:val="☐"/>
      <w:lvlJc w:val="left"/>
      <w:pPr>
        <w:ind w:left="2880" w:hanging="360"/>
      </w:pPr>
    </w:lvl>
    <w:lvl w:ilvl="4">
      <w:numFmt w:val="bullet"/>
      <w:lvlText w:val="☐"/>
      <w:lvlJc w:val="left"/>
      <w:pPr>
        <w:ind w:left="3600" w:hanging="360"/>
      </w:pPr>
    </w:lvl>
    <w:lvl w:ilvl="5">
      <w:numFmt w:val="bullet"/>
      <w:lvlText w:val="☐"/>
      <w:lvlJc w:val="left"/>
      <w:pPr>
        <w:ind w:left="4320" w:hanging="360"/>
      </w:pPr>
    </w:lvl>
    <w:lvl w:ilvl="6">
      <w:numFmt w:val="bullet"/>
      <w:lvlText w:val="☐"/>
      <w:lvlJc w:val="left"/>
      <w:pPr>
        <w:ind w:left="5040" w:hanging="360"/>
      </w:pPr>
    </w:lvl>
    <w:lvl w:ilvl="7">
      <w:numFmt w:val="bullet"/>
      <w:lvlText w:val="☐"/>
      <w:lvlJc w:val="left"/>
      <w:pPr>
        <w:ind w:left="5760" w:hanging="360"/>
      </w:pPr>
    </w:lvl>
    <w:lvl w:ilvl="8">
      <w:numFmt w:val="bullet"/>
      <w:lvlText w:val="☐"/>
      <w:lvlJc w:val="left"/>
      <w:pPr>
        <w:ind w:left="6480" w:hanging="360"/>
      </w:pPr>
    </w:lvl>
  </w:abstractNum>
  <w:abstractNum w:abstractNumId="3" w15:restartNumberingAfterBreak="0">
    <w:nsid w:val="00A99411"/>
    <w:multiLevelType w:val="multilevel"/>
    <w:tmpl w:val="D4CE738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" w16cid:durableId="1649624384">
    <w:abstractNumId w:val="0"/>
  </w:num>
  <w:num w:numId="2" w16cid:durableId="62096384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57123667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61814580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51724953">
    <w:abstractNumId w:val="1"/>
  </w:num>
  <w:num w:numId="6" w16cid:durableId="661809339">
    <w:abstractNumId w:val="2"/>
  </w:num>
  <w:num w:numId="7" w16cid:durableId="999162346">
    <w:abstractNumId w:val="2"/>
  </w:num>
  <w:num w:numId="8" w16cid:durableId="1249658450">
    <w:abstractNumId w:val="2"/>
  </w:num>
  <w:num w:numId="9" w16cid:durableId="2131166400">
    <w:abstractNumId w:val="2"/>
  </w:num>
  <w:num w:numId="10" w16cid:durableId="1723362162">
    <w:abstractNumId w:val="2"/>
  </w:num>
  <w:num w:numId="11" w16cid:durableId="25664046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370695192">
    <w:abstractNumId w:val="1"/>
  </w:num>
  <w:num w:numId="13" w16cid:durableId="1715538145">
    <w:abstractNumId w:val="2"/>
  </w:num>
  <w:num w:numId="14" w16cid:durableId="352846114">
    <w:abstractNumId w:val="2"/>
  </w:num>
  <w:num w:numId="15" w16cid:durableId="890969605">
    <w:abstractNumId w:val="2"/>
  </w:num>
  <w:num w:numId="16" w16cid:durableId="718283462">
    <w:abstractNumId w:val="2"/>
  </w:num>
  <w:num w:numId="17" w16cid:durableId="1171600712">
    <w:abstractNumId w:val="2"/>
  </w:num>
  <w:num w:numId="18" w16cid:durableId="1954239250">
    <w:abstractNumId w:val="1"/>
  </w:num>
  <w:num w:numId="19" w16cid:durableId="204336165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207566245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35157261">
    <w:abstractNumId w:val="2"/>
  </w:num>
  <w:num w:numId="22" w16cid:durableId="1777171714">
    <w:abstractNumId w:val="2"/>
  </w:num>
  <w:num w:numId="23" w16cid:durableId="2119912647">
    <w:abstractNumId w:val="2"/>
  </w:num>
  <w:num w:numId="24" w16cid:durableId="1078674957">
    <w:abstractNumId w:val="2"/>
  </w:num>
  <w:num w:numId="25" w16cid:durableId="107755645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874580585">
    <w:abstractNumId w:val="1"/>
  </w:num>
  <w:num w:numId="27" w16cid:durableId="207644914">
    <w:abstractNumId w:val="1"/>
  </w:num>
  <w:num w:numId="28" w16cid:durableId="119820402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667244495">
    <w:abstractNumId w:val="1"/>
  </w:num>
  <w:num w:numId="30" w16cid:durableId="440229573">
    <w:abstractNumId w:val="2"/>
  </w:num>
  <w:num w:numId="31" w16cid:durableId="1248536966">
    <w:abstractNumId w:val="2"/>
  </w:num>
  <w:num w:numId="32" w16cid:durableId="231502524">
    <w:abstractNumId w:val="2"/>
  </w:num>
  <w:num w:numId="33" w16cid:durableId="607196417">
    <w:abstractNumId w:val="2"/>
  </w:num>
  <w:num w:numId="34" w16cid:durableId="642545431">
    <w:abstractNumId w:val="2"/>
  </w:num>
  <w:num w:numId="35" w16cid:durableId="213983925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7"/>
  <w:embedSystemFonts/>
  <w:proofState w:spelling="clean" w:grammar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37A4"/>
    <w:rsid w:val="00050E99"/>
    <w:rsid w:val="0010073E"/>
    <w:rsid w:val="00165FFD"/>
    <w:rsid w:val="001A6B13"/>
    <w:rsid w:val="00301B4B"/>
    <w:rsid w:val="005937BD"/>
    <w:rsid w:val="005A72ED"/>
    <w:rsid w:val="0073730F"/>
    <w:rsid w:val="00831758"/>
    <w:rsid w:val="008713E7"/>
    <w:rsid w:val="008D43A9"/>
    <w:rsid w:val="008D6429"/>
    <w:rsid w:val="008F55AF"/>
    <w:rsid w:val="009106B1"/>
    <w:rsid w:val="00990147"/>
    <w:rsid w:val="00B030ED"/>
    <w:rsid w:val="00B60F61"/>
    <w:rsid w:val="00CB2994"/>
    <w:rsid w:val="00CF0112"/>
    <w:rsid w:val="00DE4B47"/>
    <w:rsid w:val="00DF37A4"/>
    <w:rsid w:val="00F271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BBDBCEB"/>
  <w15:docId w15:val="{2BC8F061-7B30-4DA5-8292-134AE326C8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6">
    <w:lsdException w:name="header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qFormat/>
    <w:pPr>
      <w:spacing w:before="180" w:after="180"/>
    </w:pPr>
  </w:style>
  <w:style w:type="paragraph" w:customStyle="1" w:styleId="FirstParagraph">
    <w:name w:val="First Paragraph"/>
    <w:basedOn w:val="BodyText"/>
    <w:next w:val="BodyText"/>
    <w:qFormat/>
  </w:style>
  <w:style w:type="paragraph" w:customStyle="1" w:styleId="Compact">
    <w:name w:val="Compact"/>
    <w:basedOn w:val="BodyText"/>
    <w:qFormat/>
    <w:pPr>
      <w:spacing w:before="36" w:after="36"/>
    </w:pPr>
  </w:style>
  <w:style w:type="paragraph" w:styleId="Title">
    <w:name w:val="Title"/>
    <w:basedOn w:val="Normal"/>
    <w:next w:val="BodyText"/>
    <w:link w:val="TitleChar"/>
    <w:uiPriority w:val="10"/>
    <w:qFormat/>
    <w:rsid w:val="00A10FD9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10F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10F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customStyle="1" w:styleId="Author">
    <w:name w:val="Author"/>
    <w:next w:val="BodyText"/>
    <w:qFormat/>
    <w:pPr>
      <w:keepNext/>
      <w:keepLines/>
      <w:jc w:val="center"/>
    </w:pPr>
  </w:style>
  <w:style w:type="paragraph" w:styleId="Date">
    <w:name w:val="Date"/>
    <w:next w:val="BodyText"/>
    <w:qFormat/>
    <w:pPr>
      <w:keepNext/>
      <w:keepLines/>
      <w:jc w:val="center"/>
    </w:pPr>
  </w:style>
  <w:style w:type="paragraph" w:customStyle="1" w:styleId="AbstractTitle">
    <w:name w:val="Abstract Title"/>
    <w:basedOn w:val="Normal"/>
    <w:next w:val="Abstract"/>
    <w:qFormat/>
    <w:pPr>
      <w:keepNext/>
      <w:keepLines/>
      <w:spacing w:before="300" w:after="0"/>
      <w:jc w:val="center"/>
    </w:pPr>
    <w:rPr>
      <w:b/>
      <w:sz w:val="20"/>
      <w:szCs w:val="20"/>
    </w:rPr>
  </w:style>
  <w:style w:type="paragraph" w:customStyle="1" w:styleId="Abstract">
    <w:name w:val="Abstract"/>
    <w:basedOn w:val="Normal"/>
    <w:next w:val="BodyText"/>
    <w:qFormat/>
    <w:pPr>
      <w:keepNext/>
      <w:keepLines/>
      <w:spacing w:before="100" w:after="300"/>
    </w:pPr>
    <w:rPr>
      <w:sz w:val="20"/>
      <w:szCs w:val="20"/>
    </w:rPr>
  </w:style>
  <w:style w:type="paragraph" w:styleId="Bibliography">
    <w:name w:val="Bibliography"/>
    <w:basedOn w:val="Normal"/>
    <w:qFormat/>
  </w:style>
  <w:style w:type="character" w:customStyle="1" w:styleId="Heading1Char">
    <w:name w:val="Heading 1 Char"/>
    <w:basedOn w:val="DefaultParagraphFont"/>
    <w:link w:val="Heading1"/>
    <w:uiPriority w:val="9"/>
    <w:rsid w:val="00A10F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10F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10F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10FD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10FD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10FD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10FD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10FD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10FD9"/>
    <w:rPr>
      <w:rFonts w:eastAsiaTheme="majorEastAsia" w:cstheme="majorBidi"/>
      <w:color w:val="272727" w:themeColor="text1" w:themeTint="D8"/>
    </w:rPr>
  </w:style>
  <w:style w:type="paragraph" w:styleId="BlockText">
    <w:name w:val="Block Text"/>
    <w:basedOn w:val="BodyText"/>
    <w:next w:val="BodyText"/>
    <w:uiPriority w:val="9"/>
    <w:unhideWhenUsed/>
    <w:qFormat/>
    <w:pPr>
      <w:spacing w:before="100" w:after="100"/>
      <w:ind w:left="480" w:right="480"/>
    </w:pPr>
  </w:style>
  <w:style w:type="paragraph" w:styleId="FootnoteText">
    <w:name w:val="footnote text"/>
    <w:basedOn w:val="Normal"/>
    <w:uiPriority w:val="9"/>
    <w:unhideWhenUsed/>
    <w:qFormat/>
  </w:style>
  <w:style w:type="paragraph" w:customStyle="1" w:styleId="FootnoteBlockText">
    <w:name w:val="Footnote Block Text"/>
    <w:basedOn w:val="FootnoteText"/>
    <w:next w:val="FootnoteText"/>
    <w:uiPriority w:val="9"/>
    <w:unhideWhenUsed/>
    <w:qFormat/>
    <w:pPr>
      <w:spacing w:before="100" w:after="100"/>
      <w:ind w:left="480" w:right="480"/>
    </w:pPr>
  </w:style>
  <w:style w:type="table" w:customStyle="1" w:styleId="Table">
    <w:name w:val="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>
        <w:jc w:val="left"/>
      </w:tblPr>
      <w:trPr>
        <w:jc w:val="left"/>
      </w:trPr>
      <w:tcPr>
        <w:tcBorders>
          <w:bottom w:val="single" w:sz="0" w:space="0" w:color="auto"/>
        </w:tcBorders>
        <w:vAlign w:val="bottom"/>
      </w:tcPr>
    </w:tblStyle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Caption">
    <w:name w:val="caption"/>
    <w:basedOn w:val="Normal"/>
    <w:link w:val="CaptionChar"/>
    <w:pPr>
      <w:spacing w:after="120"/>
    </w:pPr>
    <w:rPr>
      <w:i/>
    </w:rPr>
  </w:style>
  <w:style w:type="paragraph" w:customStyle="1" w:styleId="TableCaption">
    <w:name w:val="Table Caption"/>
    <w:basedOn w:val="Caption"/>
    <w:pPr>
      <w:keepNext/>
    </w:pPr>
  </w:style>
  <w:style w:type="paragraph" w:customStyle="1" w:styleId="ImageCaption">
    <w:name w:val="Image Caption"/>
    <w:basedOn w:val="Caption"/>
  </w:style>
  <w:style w:type="paragraph" w:customStyle="1" w:styleId="Figure">
    <w:name w:val="Figure"/>
    <w:basedOn w:val="Normal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CaptionChar">
    <w:name w:val="Caption Char"/>
    <w:basedOn w:val="DefaultParagraphFont"/>
    <w:link w:val="Caption"/>
  </w:style>
  <w:style w:type="character" w:customStyle="1" w:styleId="VerbatimChar">
    <w:name w:val="Verbatim Char"/>
    <w:basedOn w:val="CaptionChar"/>
    <w:link w:val="SourceCode"/>
    <w:rPr>
      <w:rFonts w:ascii="Consolas" w:hAnsi="Consolas"/>
      <w:sz w:val="22"/>
    </w:rPr>
  </w:style>
  <w:style w:type="character" w:customStyle="1" w:styleId="SectionNumber">
    <w:name w:val="Section Number"/>
    <w:basedOn w:val="CaptionChar"/>
  </w:style>
  <w:style w:type="character" w:styleId="FootnoteReference">
    <w:name w:val="footnote reference"/>
    <w:basedOn w:val="CaptionChar"/>
    <w:rPr>
      <w:vertAlign w:val="superscript"/>
    </w:rPr>
  </w:style>
  <w:style w:type="character" w:styleId="Hyperlink">
    <w:name w:val="Hyperlink"/>
    <w:basedOn w:val="CaptionChar"/>
    <w:rPr>
      <w:color w:val="156082" w:themeColor="accent1"/>
    </w:rPr>
  </w:style>
  <w:style w:type="paragraph" w:styleId="TOCHeading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</w:style>
  <w:style w:type="paragraph" w:customStyle="1" w:styleId="SourceCode">
    <w:name w:val="Source Code"/>
    <w:basedOn w:val="Normal"/>
    <w:link w:val="VerbatimChar"/>
    <w:pPr>
      <w:wordWrap w:val="0"/>
    </w:pPr>
  </w:style>
  <w:style w:type="character" w:customStyle="1" w:styleId="KeywordTok">
    <w:name w:val="KeywordTok"/>
    <w:basedOn w:val="VerbatimChar"/>
    <w:rPr>
      <w:rFonts w:ascii="Consolas" w:hAnsi="Consolas"/>
      <w:b/>
      <w:color w:val="007020"/>
      <w:sz w:val="22"/>
    </w:rPr>
  </w:style>
  <w:style w:type="character" w:customStyle="1" w:styleId="DataTypeTok">
    <w:name w:val="DataTypeTok"/>
    <w:basedOn w:val="VerbatimChar"/>
    <w:rPr>
      <w:rFonts w:ascii="Consolas" w:hAnsi="Consolas"/>
      <w:color w:val="902000"/>
      <w:sz w:val="22"/>
    </w:rPr>
  </w:style>
  <w:style w:type="character" w:customStyle="1" w:styleId="DecValTok">
    <w:name w:val="DecValTok"/>
    <w:basedOn w:val="VerbatimChar"/>
    <w:rPr>
      <w:rFonts w:ascii="Consolas" w:hAnsi="Consolas"/>
      <w:color w:val="40A070"/>
      <w:sz w:val="22"/>
    </w:rPr>
  </w:style>
  <w:style w:type="character" w:customStyle="1" w:styleId="BaseNTok">
    <w:name w:val="BaseNTok"/>
    <w:basedOn w:val="VerbatimChar"/>
    <w:rPr>
      <w:rFonts w:ascii="Consolas" w:hAnsi="Consolas"/>
      <w:color w:val="40A070"/>
      <w:sz w:val="22"/>
    </w:rPr>
  </w:style>
  <w:style w:type="character" w:customStyle="1" w:styleId="FloatTok">
    <w:name w:val="FloatTok"/>
    <w:basedOn w:val="VerbatimChar"/>
    <w:rPr>
      <w:rFonts w:ascii="Consolas" w:hAnsi="Consolas"/>
      <w:color w:val="40A070"/>
      <w:sz w:val="22"/>
    </w:rPr>
  </w:style>
  <w:style w:type="character" w:customStyle="1" w:styleId="ConstantTok">
    <w:name w:val="ConstantTok"/>
    <w:basedOn w:val="VerbatimChar"/>
    <w:rPr>
      <w:rFonts w:ascii="Consolas" w:hAnsi="Consolas"/>
      <w:color w:val="880000"/>
      <w:sz w:val="22"/>
    </w:rPr>
  </w:style>
  <w:style w:type="character" w:customStyle="1" w:styleId="CharTok">
    <w:name w:val="CharTok"/>
    <w:basedOn w:val="VerbatimChar"/>
    <w:rPr>
      <w:rFonts w:ascii="Consolas" w:hAnsi="Consolas"/>
      <w:color w:val="4070A0"/>
      <w:sz w:val="22"/>
    </w:rPr>
  </w:style>
  <w:style w:type="character" w:customStyle="1" w:styleId="SpecialCharTok">
    <w:name w:val="SpecialCharTok"/>
    <w:basedOn w:val="VerbatimChar"/>
    <w:rPr>
      <w:rFonts w:ascii="Consolas" w:hAnsi="Consolas"/>
      <w:color w:val="4070A0"/>
      <w:sz w:val="22"/>
    </w:rPr>
  </w:style>
  <w:style w:type="character" w:customStyle="1" w:styleId="StringTok">
    <w:name w:val="StringTok"/>
    <w:basedOn w:val="VerbatimChar"/>
    <w:rPr>
      <w:rFonts w:ascii="Consolas" w:hAnsi="Consolas"/>
      <w:color w:val="4070A0"/>
      <w:sz w:val="22"/>
    </w:rPr>
  </w:style>
  <w:style w:type="character" w:customStyle="1" w:styleId="VerbatimStringTok">
    <w:name w:val="VerbatimStringTok"/>
    <w:basedOn w:val="VerbatimChar"/>
    <w:rPr>
      <w:rFonts w:ascii="Consolas" w:hAnsi="Consolas"/>
      <w:color w:val="4070A0"/>
      <w:sz w:val="22"/>
    </w:rPr>
  </w:style>
  <w:style w:type="character" w:customStyle="1" w:styleId="SpecialStringTok">
    <w:name w:val="SpecialStringTok"/>
    <w:basedOn w:val="VerbatimChar"/>
    <w:rPr>
      <w:rFonts w:ascii="Consolas" w:hAnsi="Consolas"/>
      <w:color w:val="BB6688"/>
      <w:sz w:val="22"/>
    </w:rPr>
  </w:style>
  <w:style w:type="character" w:customStyle="1" w:styleId="ImportTok">
    <w:name w:val="ImportTok"/>
    <w:basedOn w:val="VerbatimChar"/>
    <w:rPr>
      <w:rFonts w:ascii="Consolas" w:hAnsi="Consolas"/>
      <w:b/>
      <w:color w:val="008000"/>
      <w:sz w:val="22"/>
    </w:rPr>
  </w:style>
  <w:style w:type="character" w:customStyle="1" w:styleId="CommentTok">
    <w:name w:val="CommentTok"/>
    <w:basedOn w:val="VerbatimChar"/>
    <w:rPr>
      <w:rFonts w:ascii="Consolas" w:hAnsi="Consolas"/>
      <w:i/>
      <w:color w:val="60A0B0"/>
      <w:sz w:val="22"/>
    </w:rPr>
  </w:style>
  <w:style w:type="character" w:customStyle="1" w:styleId="DocumentationTok">
    <w:name w:val="DocumentationTok"/>
    <w:basedOn w:val="VerbatimChar"/>
    <w:rPr>
      <w:rFonts w:ascii="Consolas" w:hAnsi="Consolas"/>
      <w:i/>
      <w:color w:val="BA2121"/>
      <w:sz w:val="22"/>
    </w:rPr>
  </w:style>
  <w:style w:type="character" w:customStyle="1" w:styleId="AnnotationTok">
    <w:name w:val="Annot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CommentVarTok">
    <w:name w:val="CommentVar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OtherTok">
    <w:name w:val="OtherTok"/>
    <w:basedOn w:val="VerbatimChar"/>
    <w:rPr>
      <w:rFonts w:ascii="Consolas" w:hAnsi="Consolas"/>
      <w:color w:val="007020"/>
      <w:sz w:val="22"/>
    </w:rPr>
  </w:style>
  <w:style w:type="character" w:customStyle="1" w:styleId="FunctionTok">
    <w:name w:val="FunctionTok"/>
    <w:basedOn w:val="VerbatimChar"/>
    <w:rPr>
      <w:rFonts w:ascii="Consolas" w:hAnsi="Consolas"/>
      <w:color w:val="06287E"/>
      <w:sz w:val="22"/>
    </w:rPr>
  </w:style>
  <w:style w:type="character" w:customStyle="1" w:styleId="VariableTok">
    <w:name w:val="VariableTok"/>
    <w:basedOn w:val="VerbatimChar"/>
    <w:rPr>
      <w:rFonts w:ascii="Consolas" w:hAnsi="Consolas"/>
      <w:color w:val="19177C"/>
      <w:sz w:val="22"/>
    </w:rPr>
  </w:style>
  <w:style w:type="character" w:customStyle="1" w:styleId="ControlFlowTok">
    <w:name w:val="ControlFlowTok"/>
    <w:basedOn w:val="VerbatimChar"/>
    <w:rPr>
      <w:rFonts w:ascii="Consolas" w:hAnsi="Consolas"/>
      <w:b/>
      <w:color w:val="007020"/>
      <w:sz w:val="22"/>
    </w:rPr>
  </w:style>
  <w:style w:type="character" w:customStyle="1" w:styleId="OperatorTok">
    <w:name w:val="OperatorTok"/>
    <w:basedOn w:val="VerbatimChar"/>
    <w:rPr>
      <w:rFonts w:ascii="Consolas" w:hAnsi="Consolas"/>
      <w:color w:val="666666"/>
      <w:sz w:val="22"/>
    </w:rPr>
  </w:style>
  <w:style w:type="character" w:customStyle="1" w:styleId="BuiltInTok">
    <w:name w:val="BuiltInTok"/>
    <w:basedOn w:val="VerbatimChar"/>
    <w:rPr>
      <w:rFonts w:ascii="Consolas" w:hAnsi="Consolas"/>
      <w:color w:val="008000"/>
      <w:sz w:val="22"/>
    </w:rPr>
  </w:style>
  <w:style w:type="character" w:customStyle="1" w:styleId="ExtensionTok">
    <w:name w:val="ExtensionTok"/>
    <w:basedOn w:val="VerbatimChar"/>
    <w:rPr>
      <w:rFonts w:ascii="Consolas" w:hAnsi="Consolas"/>
      <w:sz w:val="22"/>
    </w:rPr>
  </w:style>
  <w:style w:type="character" w:customStyle="1" w:styleId="PreprocessorTok">
    <w:name w:val="PreprocessorTok"/>
    <w:basedOn w:val="VerbatimChar"/>
    <w:rPr>
      <w:rFonts w:ascii="Consolas" w:hAnsi="Consolas"/>
      <w:color w:val="BC7A00"/>
      <w:sz w:val="22"/>
    </w:rPr>
  </w:style>
  <w:style w:type="character" w:customStyle="1" w:styleId="AttributeTok">
    <w:name w:val="AttributeTok"/>
    <w:basedOn w:val="VerbatimChar"/>
    <w:rPr>
      <w:rFonts w:ascii="Consolas" w:hAnsi="Consolas"/>
      <w:color w:val="7D9029"/>
      <w:sz w:val="22"/>
    </w:rPr>
  </w:style>
  <w:style w:type="character" w:customStyle="1" w:styleId="RegionMarkerTok">
    <w:name w:val="RegionMarkerTok"/>
    <w:basedOn w:val="VerbatimChar"/>
    <w:rPr>
      <w:rFonts w:ascii="Consolas" w:hAnsi="Consolas"/>
      <w:sz w:val="22"/>
    </w:rPr>
  </w:style>
  <w:style w:type="character" w:customStyle="1" w:styleId="InformationTok">
    <w:name w:val="Inform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WarningTok">
    <w:name w:val="Warning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AlertTok">
    <w:name w:val="AlertTok"/>
    <w:basedOn w:val="VerbatimChar"/>
    <w:rPr>
      <w:rFonts w:ascii="Consolas" w:hAnsi="Consolas"/>
      <w:b/>
      <w:color w:val="FF0000"/>
      <w:sz w:val="22"/>
    </w:rPr>
  </w:style>
  <w:style w:type="character" w:customStyle="1" w:styleId="ErrorTok">
    <w:name w:val="ErrorTok"/>
    <w:basedOn w:val="VerbatimChar"/>
    <w:rPr>
      <w:rFonts w:ascii="Consolas" w:hAnsi="Consolas"/>
      <w:b/>
      <w:color w:val="FF0000"/>
      <w:sz w:val="22"/>
    </w:rPr>
  </w:style>
  <w:style w:type="character" w:customStyle="1" w:styleId="NormalTok">
    <w:name w:val="NormalTok"/>
    <w:basedOn w:val="VerbatimChar"/>
    <w:rPr>
      <w:rFonts w:ascii="Consolas" w:hAnsi="Consolas"/>
      <w:sz w:val="22"/>
    </w:rPr>
  </w:style>
  <w:style w:type="paragraph" w:styleId="Header">
    <w:name w:val="header"/>
    <w:basedOn w:val="Normal"/>
    <w:link w:val="HeaderChar"/>
    <w:uiPriority w:val="99"/>
    <w:rsid w:val="00B60F61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B60F61"/>
  </w:style>
  <w:style w:type="paragraph" w:styleId="Footer">
    <w:name w:val="footer"/>
    <w:basedOn w:val="Normal"/>
    <w:link w:val="FooterChar"/>
    <w:rsid w:val="00B60F61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rsid w:val="00B60F61"/>
  </w:style>
  <w:style w:type="paragraph" w:styleId="Revision">
    <w:name w:val="Revision"/>
    <w:hidden/>
    <w:rsid w:val="008D6429"/>
    <w:pPr>
      <w:spacing w:after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954</Words>
  <Characters>5441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Debbie Sink</dc:creator>
  <cp:keywords/>
  <cp:lastModifiedBy>Debbie Sink</cp:lastModifiedBy>
  <cp:revision>2</cp:revision>
  <dcterms:created xsi:type="dcterms:W3CDTF">2026-07-22T15:20:00Z</dcterms:created>
  <dcterms:modified xsi:type="dcterms:W3CDTF">2026-07-22T15:20:00Z</dcterms:modified>
</cp:coreProperties>
</file>